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1040D" w14:textId="77777777" w:rsidR="0078797F" w:rsidRDefault="0078797F" w:rsidP="00FE7F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</w:pPr>
      <w:bookmarkStart w:id="0" w:name="Articolul_49."/>
    </w:p>
    <w:p w14:paraId="2F3A08EB" w14:textId="63387EB0" w:rsidR="008E43D6" w:rsidRPr="00D33F7C" w:rsidRDefault="006E2FC1" w:rsidP="00FE7F0E">
      <w:pPr>
        <w:tabs>
          <w:tab w:val="left" w:pos="3261"/>
          <w:tab w:val="left" w:pos="382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o-RO"/>
        </w:rPr>
      </w:pPr>
      <w:r w:rsidRPr="00D33F7C">
        <w:rPr>
          <w:rFonts w:ascii="Times New Roman" w:eastAsia="Times New Roman" w:hAnsi="Times New Roman" w:cs="Times New Roman"/>
          <w:b/>
          <w:bCs/>
          <w:sz w:val="24"/>
          <w:szCs w:val="26"/>
          <w:lang w:eastAsia="ro-RO"/>
        </w:rPr>
        <w:t>Notă informativă</w:t>
      </w:r>
    </w:p>
    <w:p w14:paraId="33A5F1A7" w14:textId="27D430E1" w:rsidR="009F255F" w:rsidRDefault="007F5C99" w:rsidP="009F25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33F7C">
        <w:rPr>
          <w:rFonts w:ascii="Times New Roman" w:eastAsia="Times New Roman" w:hAnsi="Times New Roman" w:cs="Times New Roman"/>
          <w:b/>
          <w:bCs/>
          <w:sz w:val="24"/>
          <w:szCs w:val="26"/>
          <w:lang w:eastAsia="ro-RO"/>
        </w:rPr>
        <w:t xml:space="preserve"> </w:t>
      </w:r>
      <w:r w:rsidR="006E2FC1" w:rsidRPr="00D33F7C">
        <w:rPr>
          <w:rFonts w:ascii="Times New Roman" w:eastAsia="Times New Roman" w:hAnsi="Times New Roman" w:cs="Times New Roman"/>
          <w:b/>
          <w:bCs/>
          <w:sz w:val="24"/>
          <w:szCs w:val="26"/>
          <w:lang w:eastAsia="ro-RO"/>
        </w:rPr>
        <w:t xml:space="preserve">la proiectul </w:t>
      </w:r>
      <w:r w:rsidR="00C66349" w:rsidRPr="00D33F7C">
        <w:rPr>
          <w:rFonts w:ascii="Times New Roman" w:eastAsia="Times New Roman" w:hAnsi="Times New Roman" w:cs="Times New Roman"/>
          <w:b/>
          <w:bCs/>
          <w:sz w:val="24"/>
          <w:szCs w:val="26"/>
          <w:lang w:eastAsia="ro-RO"/>
        </w:rPr>
        <w:t xml:space="preserve">de modificare a </w:t>
      </w:r>
      <w:r w:rsidR="00962EB1" w:rsidRPr="00D33F7C">
        <w:rPr>
          <w:rFonts w:ascii="Times New Roman" w:hAnsi="Times New Roman" w:cs="Times New Roman"/>
          <w:b/>
          <w:sz w:val="24"/>
          <w:szCs w:val="26"/>
        </w:rPr>
        <w:t>Codului rețelelor de gaze naturale</w:t>
      </w:r>
      <w:r w:rsidR="009F255F">
        <w:rPr>
          <w:rFonts w:ascii="Times New Roman" w:hAnsi="Times New Roman" w:cs="Times New Roman"/>
          <w:b/>
          <w:sz w:val="24"/>
          <w:szCs w:val="26"/>
        </w:rPr>
        <w:t xml:space="preserve"> aprobat prin Hotărârea ANRE nr. 420/2019</w:t>
      </w:r>
    </w:p>
    <w:p w14:paraId="196B643E" w14:textId="77777777" w:rsidR="00F622B2" w:rsidRPr="00F622B2" w:rsidRDefault="00F622B2" w:rsidP="00FE7F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6"/>
        </w:rPr>
      </w:pPr>
    </w:p>
    <w:tbl>
      <w:tblPr>
        <w:tblW w:w="522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55"/>
      </w:tblGrid>
      <w:tr w:rsidR="007A114E" w:rsidRPr="00E05A25" w14:paraId="3DAAD41E" w14:textId="77777777" w:rsidTr="00D656D9">
        <w:trPr>
          <w:trHeight w:val="278"/>
        </w:trPr>
        <w:tc>
          <w:tcPr>
            <w:tcW w:w="5000" w:type="pct"/>
          </w:tcPr>
          <w:bookmarkEnd w:id="0"/>
          <w:p w14:paraId="259E1C27" w14:textId="506870D5" w:rsidR="007A114E" w:rsidRPr="008E43D6" w:rsidRDefault="007A114E" w:rsidP="00FE7F0E">
            <w:pPr>
              <w:numPr>
                <w:ilvl w:val="3"/>
                <w:numId w:val="16"/>
              </w:numPr>
              <w:tabs>
                <w:tab w:val="left" w:pos="284"/>
                <w:tab w:val="left" w:pos="603"/>
              </w:tabs>
              <w:suppressAutoHyphens/>
              <w:spacing w:after="0" w:line="240" w:lineRule="auto"/>
              <w:ind w:hanging="2539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8E43D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>Denumirea autorului responsabil de elaborarea proiectului</w:t>
            </w:r>
          </w:p>
        </w:tc>
      </w:tr>
      <w:tr w:rsidR="007A114E" w:rsidRPr="00E05A25" w14:paraId="3813BCE1" w14:textId="77777777" w:rsidTr="00D656D9">
        <w:trPr>
          <w:trHeight w:val="351"/>
        </w:trPr>
        <w:tc>
          <w:tcPr>
            <w:tcW w:w="5000" w:type="pct"/>
          </w:tcPr>
          <w:p w14:paraId="5D985578" w14:textId="727B95DD" w:rsidR="007A114E" w:rsidRPr="008E43D6" w:rsidRDefault="007A114E" w:rsidP="00FE7F0E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ind w:firstLine="4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8797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8E43D6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Agenția Națională pentru Reglementare în Energetică</w:t>
            </w:r>
          </w:p>
        </w:tc>
      </w:tr>
      <w:tr w:rsidR="007A114E" w:rsidRPr="00E05A25" w14:paraId="3E774FA0" w14:textId="77777777" w:rsidTr="00BC778B">
        <w:trPr>
          <w:trHeight w:val="347"/>
        </w:trPr>
        <w:tc>
          <w:tcPr>
            <w:tcW w:w="5000" w:type="pct"/>
          </w:tcPr>
          <w:p w14:paraId="6841C6DF" w14:textId="0A313081" w:rsidR="007A114E" w:rsidRPr="008E43D6" w:rsidRDefault="007A114E" w:rsidP="00FE7F0E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ind w:firstLine="319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 xml:space="preserve">2. </w:t>
            </w:r>
            <w:r w:rsidR="0078797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8E43D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 xml:space="preserve">Condiţiile ce au impus elaborarea proiectului de act normativ şi </w:t>
            </w:r>
            <w:r w:rsidR="009E10D3" w:rsidRPr="008E43D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>finalitățile</w:t>
            </w:r>
            <w:r w:rsidRPr="008E43D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urmărite</w:t>
            </w:r>
          </w:p>
        </w:tc>
      </w:tr>
      <w:tr w:rsidR="007A114E" w:rsidRPr="00E05A25" w14:paraId="690A49B5" w14:textId="77777777" w:rsidTr="008E5257">
        <w:trPr>
          <w:trHeight w:val="985"/>
        </w:trPr>
        <w:tc>
          <w:tcPr>
            <w:tcW w:w="5000" w:type="pct"/>
          </w:tcPr>
          <w:p w14:paraId="20AF92C5" w14:textId="0C8C63F7" w:rsidR="00EF6857" w:rsidRPr="00EF6857" w:rsidRDefault="00EF6857" w:rsidP="00BC778B">
            <w:pPr>
              <w:tabs>
                <w:tab w:val="left" w:pos="1023"/>
              </w:tabs>
              <w:spacing w:after="0" w:line="240" w:lineRule="auto"/>
              <w:ind w:right="46" w:firstLine="7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01BF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Potrivit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art. 114 alin. (</w:t>
            </w:r>
            <w:r w:rsidRPr="00EF68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10) din Legea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nr. </w:t>
            </w:r>
            <w:r w:rsidRPr="00EF68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108/2016, </w:t>
            </w:r>
            <w:r w:rsidR="00BC778B" w:rsidRPr="00BC77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</w:t>
            </w:r>
            <w:r w:rsidRPr="00BC77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în termen de cel mult 6 luni de la primirea notificării din partea Agenţiei cu privire la preluarea de către Comunitatea Energetică a Codului reţelelor de gaze naturale al Uniunii Europene, operatorii sistemelor de transport</w:t>
            </w:r>
            <w:r w:rsidR="009F2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(OST)</w:t>
            </w:r>
            <w:r w:rsidRPr="00BC77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sînt </w:t>
            </w:r>
            <w:proofErr w:type="spellStart"/>
            <w:r w:rsidRPr="00BC77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obligaţi</w:t>
            </w:r>
            <w:proofErr w:type="spellEnd"/>
            <w:r w:rsidRPr="00BC77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să </w:t>
            </w:r>
            <w:proofErr w:type="spellStart"/>
            <w:r w:rsidRPr="00BC77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elaboreze</w:t>
            </w:r>
            <w:proofErr w:type="spellEnd"/>
            <w:r w:rsidRPr="00BC77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şi să prezinte Agenţiei pentru </w:t>
            </w:r>
            <w:r w:rsidR="00BC77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consultare și </w:t>
            </w:r>
            <w:r w:rsidRPr="00BC77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aprobare Codul reţelelor de gaze naturale</w:t>
            </w:r>
            <w:r w:rsidR="00BC778B" w:rsidRPr="00BC77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  <w:r w:rsidRPr="00BC77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9925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11F84068" w14:textId="2ED2E0ED" w:rsidR="00CC0B83" w:rsidRPr="00CC0B83" w:rsidRDefault="0006672C" w:rsidP="00BC778B">
            <w:pPr>
              <w:pStyle w:val="ListParagraph"/>
              <w:tabs>
                <w:tab w:val="left" w:pos="690"/>
                <w:tab w:val="left" w:pos="1023"/>
              </w:tabs>
              <w:spacing w:after="0" w:line="240" w:lineRule="auto"/>
              <w:ind w:left="0" w:right="46" w:firstLine="73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Prin modificările operate la</w:t>
            </w:r>
            <w:r w:rsidR="00CC0B83" w:rsidRPr="00CC0B8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Codul</w:t>
            </w:r>
            <w:r w:rsidR="00CC0B83" w:rsidRPr="00EF6857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rețelelor de ga</w:t>
            </w:r>
            <w:r w:rsidR="00EF6857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ze naturale </w:t>
            </w:r>
            <w:r w:rsidR="00A40F34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aprobat prin </w:t>
            </w:r>
            <w:r w:rsidR="00EF6857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Hotărâ</w:t>
            </w:r>
            <w:r w:rsidR="00CC0B83" w:rsidRPr="00EF6857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rea ANRE nr.</w:t>
            </w:r>
            <w:r w:rsidR="00EF6857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</w:t>
            </w:r>
            <w:r w:rsidR="00A40F34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420/2019,</w:t>
            </w:r>
            <w:r w:rsidR="00992589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va fi asigurată</w:t>
            </w:r>
            <w:r w:rsidR="00CC0B83" w:rsidRPr="00CC0B8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transpunerea în legislația națională a</w:t>
            </w:r>
            <w:r w:rsidR="00CC0B83" w:rsidRPr="00CC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w:anchor="_bookmark5" w:history="1">
              <w:r w:rsidR="00CC0B83" w:rsidRPr="00BC778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Regulamentul</w:t>
              </w:r>
              <w:r w:rsidR="00396B8D" w:rsidRPr="00BC778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ui</w:t>
              </w:r>
              <w:r w:rsidR="00CC0B83" w:rsidRPr="00BC778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 xml:space="preserve"> (UE) Nr. 312/2014 al Comisiei din 26 martie 2014</w:t>
              </w:r>
              <w:r w:rsidR="00CC0B83" w:rsidRPr="00EF6857">
                <w:rPr>
                  <w:rFonts w:ascii="Times New Roman" w:eastAsia="Times New Roman" w:hAnsi="Times New Roman" w:cs="Times New Roman"/>
                  <w:i/>
                  <w:color w:val="000000"/>
                  <w:sz w:val="24"/>
                  <w:szCs w:val="24"/>
                  <w:lang w:val="en-US" w:eastAsia="ru-RU"/>
                </w:rPr>
                <w:t xml:space="preserve"> de stabilire a unui cod de rețea</w:t>
              </w:r>
            </w:hyperlink>
            <w:r w:rsidR="00CC0B83" w:rsidRPr="00EF68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w:anchor="_bookmark5" w:history="1">
              <w:r w:rsidR="00CC0B83" w:rsidRPr="00EF6857">
                <w:rPr>
                  <w:rFonts w:ascii="Times New Roman" w:eastAsia="Times New Roman" w:hAnsi="Times New Roman" w:cs="Times New Roman"/>
                  <w:i/>
                  <w:color w:val="000000"/>
                  <w:sz w:val="24"/>
                  <w:szCs w:val="24"/>
                  <w:lang w:val="en-US" w:eastAsia="ru-RU"/>
                </w:rPr>
                <w:t>privind echilibrarea rețelelor de transport de gaz</w:t>
              </w:r>
            </w:hyperlink>
            <w:r w:rsidR="00CC0B83" w:rsidRPr="00EF68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e</w:t>
            </w:r>
            <w:r w:rsidR="00CC0B83" w:rsidRPr="00CC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adaptat prin Decizia Nr. 2019/01/PHLG-EnC al Grupului Permanent de Nivel </w:t>
            </w:r>
            <w:proofErr w:type="spellStart"/>
            <w:r w:rsidR="00CC0B83" w:rsidRPr="00CC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Înalt</w:t>
            </w:r>
            <w:proofErr w:type="spellEnd"/>
            <w:r w:rsidR="00CC0B83" w:rsidRPr="00CC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al Comunităţii Energetice din 12 decembrie 2019</w:t>
            </w:r>
            <w:r w:rsidR="00FE0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="00CC0B83" w:rsidRPr="00CC0B8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</w:t>
            </w:r>
          </w:p>
          <w:p w14:paraId="288DB3E1" w14:textId="6B0BAE59" w:rsidR="00C150C8" w:rsidRDefault="00C150C8" w:rsidP="00BC778B">
            <w:pPr>
              <w:tabs>
                <w:tab w:val="left" w:pos="1023"/>
              </w:tabs>
              <w:spacing w:after="0" w:line="240" w:lineRule="auto"/>
              <w:ind w:right="46" w:firstLine="7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În conformitate cu </w:t>
            </w:r>
            <w:r w:rsidRPr="004001BF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art. 67 alin.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2</w:t>
            </w:r>
            <w:r w:rsidRPr="004001BF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) din Legea cu privire la gazele naturale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nr. 108/2016</w:t>
            </w:r>
            <w:r w:rsidRPr="004001BF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C</w:t>
            </w:r>
            <w:proofErr w:type="spellStart"/>
            <w:r w:rsidRPr="000963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odul</w:t>
            </w:r>
            <w:proofErr w:type="spellEnd"/>
            <w:r w:rsidRPr="000963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reţelelor de gaze naturale </w:t>
            </w:r>
            <w:proofErr w:type="spellStart"/>
            <w:r w:rsidRPr="000963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stabileşte</w:t>
            </w:r>
            <w:proofErr w:type="spellEnd"/>
            <w:r w:rsidRPr="000963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procedurile aplicate de operatorul sistemului de transport în scopul </w:t>
            </w:r>
            <w:proofErr w:type="spellStart"/>
            <w:r w:rsidRPr="000963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îndeplinirii</w:t>
            </w:r>
            <w:proofErr w:type="spellEnd"/>
            <w:r w:rsidRPr="000963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în mod </w:t>
            </w:r>
            <w:proofErr w:type="spellStart"/>
            <w:r w:rsidRPr="000963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eficient</w:t>
            </w:r>
            <w:proofErr w:type="spellEnd"/>
            <w:r w:rsidRPr="000963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atribuţiilor ce </w:t>
            </w:r>
            <w:proofErr w:type="spellStart"/>
            <w:r w:rsidRPr="000963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îi</w:t>
            </w:r>
            <w:proofErr w:type="spellEnd"/>
            <w:r w:rsidRPr="000963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revin în legătură cu asigurarea </w:t>
            </w:r>
            <w:proofErr w:type="spellStart"/>
            <w:r w:rsidRPr="000963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echilibrului</w:t>
            </w:r>
            <w:proofErr w:type="spellEnd"/>
            <w:r w:rsidRPr="000963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în sistemul de gaze naturale</w:t>
            </w:r>
            <w:r w:rsidRPr="004001BF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”. </w:t>
            </w:r>
          </w:p>
          <w:p w14:paraId="0C4B2FE2" w14:textId="02C57DC1" w:rsidR="00776F62" w:rsidRPr="00776F62" w:rsidRDefault="0006672C" w:rsidP="00BC7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023"/>
              </w:tabs>
              <w:spacing w:after="0" w:line="240" w:lineRule="auto"/>
              <w:ind w:right="46" w:firstLine="7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Finalitățile urmărite</w:t>
            </w:r>
            <w:r w:rsidR="00F622B2">
              <w:rPr>
                <w:rFonts w:ascii="Times New Roman" w:hAnsi="Times New Roman" w:cs="Times New Roman"/>
                <w:sz w:val="24"/>
                <w:szCs w:val="24"/>
              </w:rPr>
              <w:t xml:space="preserve"> prin transpunerea Regulamentului UE 312/2014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E7554C2" w14:textId="70F6AE63" w:rsidR="0078797F" w:rsidRDefault="0078797F" w:rsidP="00BC778B">
            <w:pPr>
              <w:pStyle w:val="ListParagraph"/>
              <w:numPr>
                <w:ilvl w:val="0"/>
                <w:numId w:val="44"/>
              </w:numPr>
              <w:tabs>
                <w:tab w:val="left" w:pos="690"/>
                <w:tab w:val="left" w:pos="882"/>
                <w:tab w:val="left" w:pos="1023"/>
              </w:tabs>
              <w:spacing w:after="0" w:line="240" w:lineRule="auto"/>
              <w:ind w:left="31" w:right="46" w:firstLine="73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</w:pPr>
            <w:r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respectarea angajamentelor Republici Moldova în calitate de țară membră la TCE;</w:t>
            </w:r>
          </w:p>
          <w:p w14:paraId="428D10E3" w14:textId="7DE1EA65" w:rsidR="00F622B2" w:rsidRPr="00C16645" w:rsidRDefault="00FE7F0E" w:rsidP="00BC778B">
            <w:pPr>
              <w:pStyle w:val="ListParagraph"/>
              <w:numPr>
                <w:ilvl w:val="0"/>
                <w:numId w:val="44"/>
              </w:numPr>
              <w:tabs>
                <w:tab w:val="left" w:pos="690"/>
                <w:tab w:val="left" w:pos="882"/>
                <w:tab w:val="left" w:pos="1023"/>
              </w:tabs>
              <w:spacing w:after="0" w:line="240" w:lineRule="auto"/>
              <w:ind w:left="31" w:right="46" w:firstLine="73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transpunere în legislația națională a prevederilor regulamentelor obligatorii ale UE, în scopul integrării pieței locale de gaze naturale în piața energetică comună europeană;</w:t>
            </w:r>
          </w:p>
          <w:p w14:paraId="64F1E318" w14:textId="77777777" w:rsidR="00C02428" w:rsidRDefault="0006672C" w:rsidP="00BC778B">
            <w:pPr>
              <w:pStyle w:val="ListParagraph"/>
              <w:numPr>
                <w:ilvl w:val="0"/>
                <w:numId w:val="44"/>
              </w:numPr>
              <w:tabs>
                <w:tab w:val="left" w:pos="690"/>
                <w:tab w:val="left" w:pos="882"/>
                <w:tab w:val="left" w:pos="1023"/>
              </w:tabs>
              <w:spacing w:after="0" w:line="240" w:lineRule="auto"/>
              <w:ind w:left="31" w:right="46" w:firstLine="73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stabilirea unui set de măsuri pentru OST pentru a menține rețeaua de transport în limitele operaționale</w:t>
            </w:r>
            <w:r w:rsidR="00C02428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;</w:t>
            </w:r>
            <w:r w:rsidR="00C02428" w:rsidRPr="00070B5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</w:t>
            </w:r>
          </w:p>
          <w:p w14:paraId="101258B9" w14:textId="42F8F849" w:rsidR="0006672C" w:rsidRDefault="00C02428" w:rsidP="00BC778B">
            <w:pPr>
              <w:pStyle w:val="ListParagraph"/>
              <w:numPr>
                <w:ilvl w:val="0"/>
                <w:numId w:val="44"/>
              </w:numPr>
              <w:tabs>
                <w:tab w:val="left" w:pos="690"/>
                <w:tab w:val="left" w:pos="882"/>
                <w:tab w:val="left" w:pos="1023"/>
              </w:tabs>
              <w:spacing w:after="0" w:line="240" w:lineRule="auto"/>
              <w:ind w:left="31" w:right="46" w:firstLine="73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</w:pPr>
            <w:r w:rsidRPr="00070B5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schimb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ul</w:t>
            </w:r>
            <w:r w:rsidRPr="00070B5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de date și informați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i</w:t>
            </w:r>
            <w:r w:rsidRPr="00070B5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tehnice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dintre operatorii de sistem și utilizatorii de sistem</w:t>
            </w:r>
            <w:r w:rsidRPr="00070B5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care </w:t>
            </w:r>
            <w:r w:rsidRPr="0007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să reflecte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necesitățile</w:t>
            </w:r>
            <w:r w:rsidRPr="0007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reale ale sistemului, luând în considerare resursele de care dispun OST</w:t>
            </w:r>
            <w:r w:rsidR="0006672C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;</w:t>
            </w:r>
          </w:p>
          <w:p w14:paraId="7FBDB626" w14:textId="6D548950" w:rsidR="008179F7" w:rsidRDefault="008179F7" w:rsidP="00BC778B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0"/>
                <w:tab w:val="left" w:pos="882"/>
                <w:tab w:val="left" w:pos="1023"/>
              </w:tabs>
              <w:spacing w:after="0" w:line="240" w:lineRule="auto"/>
              <w:ind w:left="31" w:right="46" w:firstLine="73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s</w:t>
            </w:r>
            <w:r w:rsidRPr="00570794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timula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rea</w:t>
            </w:r>
            <w:r w:rsidRPr="00570794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financiar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ă a utilizatorilor de sistem </w:t>
            </w:r>
            <w:r w:rsidR="00A40F34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de</w:t>
            </w:r>
            <w:r w:rsidRPr="00570794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acoperire</w:t>
            </w:r>
            <w:r w:rsidR="00A40F34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a dezechilibrelor cauzate</w:t>
            </w:r>
            <w:r w:rsidR="00A40F34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(prin intermediul plăților pentru dezechilibru).</w:t>
            </w:r>
          </w:p>
          <w:p w14:paraId="71190CBB" w14:textId="2F3643A9" w:rsidR="00D33F7C" w:rsidRPr="008179F7" w:rsidRDefault="00707FE7" w:rsidP="008179F7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0"/>
                <w:tab w:val="left" w:pos="882"/>
                <w:tab w:val="left" w:pos="1023"/>
              </w:tabs>
              <w:spacing w:after="0" w:line="240" w:lineRule="auto"/>
              <w:ind w:left="31" w:right="46" w:firstLine="73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instituirea</w:t>
            </w:r>
            <w:r w:rsidR="00570794" w:rsidRPr="00570794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platforme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lor</w:t>
            </w:r>
            <w:r w:rsidR="00570794" w:rsidRPr="00570794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de tranzacționare pentru a facilita comerțul</w:t>
            </w:r>
            <w:r w:rsidR="00A40F34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transparent</w:t>
            </w:r>
            <w:r w:rsidR="00570794" w:rsidRPr="00570794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cu gaze naturale între utilizatorii de sistem și OST.</w:t>
            </w:r>
          </w:p>
        </w:tc>
      </w:tr>
      <w:tr w:rsidR="007A114E" w:rsidRPr="00E05A25" w14:paraId="72E478DE" w14:textId="77777777" w:rsidTr="00D656D9">
        <w:trPr>
          <w:trHeight w:val="676"/>
        </w:trPr>
        <w:tc>
          <w:tcPr>
            <w:tcW w:w="5000" w:type="pct"/>
          </w:tcPr>
          <w:p w14:paraId="4ABA949F" w14:textId="2C3261F7" w:rsidR="007A114E" w:rsidRPr="008E43D6" w:rsidRDefault="00DE5D59" w:rsidP="00BC778B">
            <w:pPr>
              <w:pStyle w:val="ListParagraph"/>
              <w:numPr>
                <w:ilvl w:val="0"/>
                <w:numId w:val="33"/>
              </w:numPr>
              <w:tabs>
                <w:tab w:val="left" w:pos="641"/>
                <w:tab w:val="left" w:pos="1196"/>
              </w:tabs>
              <w:suppressAutoHyphens/>
              <w:spacing w:after="0" w:line="240" w:lineRule="auto"/>
              <w:ind w:left="74" w:firstLine="286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ar-SA"/>
              </w:rPr>
              <w:t xml:space="preserve">Descrierea gradului de compatibilitate pentru proiectele care au ca scop armonizarea </w:t>
            </w:r>
            <w:proofErr w:type="spellStart"/>
            <w:r w:rsidRPr="008E43D6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ar-SA"/>
              </w:rPr>
              <w:t>legislaţiei</w:t>
            </w:r>
            <w:proofErr w:type="spellEnd"/>
            <w:r w:rsidRPr="008E43D6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ar-SA"/>
              </w:rPr>
              <w:t xml:space="preserve"> naţionale cu </w:t>
            </w:r>
            <w:r w:rsidR="00BC778B" w:rsidRPr="008E43D6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ar-SA"/>
              </w:rPr>
              <w:t>legisla</w:t>
            </w:r>
            <w:r w:rsidR="00BC77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ar-SA"/>
              </w:rPr>
              <w:t>ț</w:t>
            </w:r>
            <w:r w:rsidR="00BC778B" w:rsidRPr="008E43D6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ar-SA"/>
              </w:rPr>
              <w:t>ia</w:t>
            </w:r>
            <w:r w:rsidRPr="008E43D6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ar-SA"/>
              </w:rPr>
              <w:t xml:space="preserve"> Uniunii Europene</w:t>
            </w:r>
          </w:p>
        </w:tc>
      </w:tr>
      <w:tr w:rsidR="00DE5D59" w:rsidRPr="00E05A25" w14:paraId="6633953D" w14:textId="77777777" w:rsidTr="00D656D9">
        <w:tc>
          <w:tcPr>
            <w:tcW w:w="5000" w:type="pct"/>
          </w:tcPr>
          <w:p w14:paraId="33C8C20F" w14:textId="6BE43FA2" w:rsidR="00FE7F0E" w:rsidRDefault="00055EC0" w:rsidP="00FE7F0E">
            <w:pPr>
              <w:pStyle w:val="ListParagraph"/>
              <w:tabs>
                <w:tab w:val="left" w:pos="690"/>
              </w:tabs>
              <w:spacing w:after="0" w:line="240" w:lineRule="auto"/>
              <w:ind w:left="0" w:firstLine="548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E43D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71188" w:rsidRPr="008E43D6">
              <w:rPr>
                <w:rFonts w:ascii="Times New Roman" w:hAnsi="Times New Roman" w:cs="Times New Roman"/>
                <w:sz w:val="24"/>
                <w:szCs w:val="24"/>
              </w:rPr>
              <w:t>ranspunerea</w:t>
            </w:r>
            <w:r w:rsidRPr="008E4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B0C" w:rsidRPr="00F622B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Regulamentul</w:t>
            </w:r>
            <w:r w:rsidR="00F622B2" w:rsidRPr="00F622B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ui</w:t>
            </w:r>
            <w:r w:rsidR="00AE4B0C" w:rsidRPr="00F622B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(UE) </w:t>
            </w:r>
            <w:hyperlink w:anchor="_bookmark5" w:history="1">
              <w:r w:rsidR="00AE4B0C" w:rsidRPr="00F622B2">
                <w:rPr>
                  <w:rFonts w:ascii="Times New Roman" w:eastAsia="Times New Roman" w:hAnsi="Times New Roman" w:cs="Times New Roman"/>
                  <w:i/>
                  <w:color w:val="000000"/>
                  <w:sz w:val="24"/>
                  <w:szCs w:val="24"/>
                  <w:lang w:val="en-US" w:eastAsia="ru-RU"/>
                </w:rPr>
                <w:t>Nr. 312/2014 al Comisiei din 26 martie 2014 de stabilire a unui cod de rețea</w:t>
              </w:r>
            </w:hyperlink>
            <w:r w:rsidR="00AE4B0C" w:rsidRPr="00F622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w:anchor="_bookmark5" w:history="1">
              <w:r w:rsidR="00AE4B0C" w:rsidRPr="00F622B2">
                <w:rPr>
                  <w:rFonts w:ascii="Times New Roman" w:eastAsia="Times New Roman" w:hAnsi="Times New Roman" w:cs="Times New Roman"/>
                  <w:i/>
                  <w:color w:val="000000"/>
                  <w:sz w:val="24"/>
                  <w:szCs w:val="24"/>
                  <w:lang w:val="en-US" w:eastAsia="ru-RU"/>
                </w:rPr>
                <w:t>privind echilibrarea rețelelor de transport de gaz</w:t>
              </w:r>
            </w:hyperlink>
            <w:r w:rsidR="00AE4B0C" w:rsidRPr="008E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e, </w:t>
            </w:r>
            <w:r w:rsidRPr="008E43D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E4B0C">
              <w:rPr>
                <w:rFonts w:ascii="Times New Roman" w:hAnsi="Times New Roman" w:cs="Times New Roman"/>
                <w:sz w:val="24"/>
                <w:szCs w:val="24"/>
              </w:rPr>
              <w:t>-a r</w:t>
            </w:r>
            <w:r w:rsidR="00D71188" w:rsidRPr="008E43D6">
              <w:rPr>
                <w:rFonts w:ascii="Times New Roman" w:hAnsi="Times New Roman" w:cs="Times New Roman"/>
                <w:sz w:val="24"/>
                <w:szCs w:val="24"/>
              </w:rPr>
              <w:t xml:space="preserve">ealizat fără a modifica structura și textul </w:t>
            </w:r>
            <w:r w:rsidRPr="008E43D6">
              <w:rPr>
                <w:rFonts w:ascii="Times New Roman" w:hAnsi="Times New Roman" w:cs="Times New Roman"/>
                <w:sz w:val="24"/>
                <w:szCs w:val="24"/>
              </w:rPr>
              <w:t xml:space="preserve">Codurilor UE, cu excepția </w:t>
            </w:r>
            <w:r w:rsidR="00F622B2">
              <w:rPr>
                <w:rFonts w:ascii="Times New Roman" w:hAnsi="Times New Roman" w:cs="Times New Roman"/>
                <w:sz w:val="24"/>
                <w:szCs w:val="24"/>
              </w:rPr>
              <w:t xml:space="preserve">adaptărilor din Decizia PHLG </w:t>
            </w:r>
            <w:r w:rsidR="00FE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Nr. 2019/01</w:t>
            </w:r>
            <w:r w:rsidR="00C15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FE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-EnC. </w:t>
            </w:r>
          </w:p>
          <w:p w14:paraId="751CA003" w14:textId="29D263D5" w:rsidR="00D71188" w:rsidRPr="008E43D6" w:rsidRDefault="0080007E" w:rsidP="00A40F34">
            <w:pPr>
              <w:pStyle w:val="ListParagraph"/>
              <w:tabs>
                <w:tab w:val="left" w:pos="690"/>
              </w:tabs>
              <w:spacing w:after="0" w:line="240" w:lineRule="auto"/>
              <w:ind w:left="0" w:firstLine="54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proiectul</w:t>
            </w:r>
            <w:r w:rsidR="008E5257">
              <w:rPr>
                <w:rFonts w:ascii="Times New Roman" w:hAnsi="Times New Roman" w:cs="Times New Roman"/>
                <w:sz w:val="24"/>
                <w:szCs w:val="24"/>
              </w:rPr>
              <w:t xml:space="preserve"> de modificare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Codului rețelelor de gaze naturale a fost elaborat Tabelul </w:t>
            </w:r>
            <w:r w:rsidR="00A40F34">
              <w:rPr>
                <w:rFonts w:ascii="Times New Roman" w:hAnsi="Times New Roman" w:cs="Times New Roman"/>
                <w:sz w:val="24"/>
                <w:szCs w:val="24"/>
              </w:rPr>
              <w:t>de concordanță cu legislația 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în care se analizează comparativ gradul de transpunere a Regulament</w:t>
            </w:r>
            <w:r w:rsidR="008E5257">
              <w:rPr>
                <w:rFonts w:ascii="Times New Roman" w:hAnsi="Times New Roman" w:cs="Times New Roman"/>
                <w:sz w:val="24"/>
                <w:szCs w:val="24"/>
              </w:rPr>
              <w:t>ului 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în proiectul </w:t>
            </w:r>
            <w:r w:rsidR="00707FE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622B2">
              <w:rPr>
                <w:rFonts w:ascii="Times New Roman" w:hAnsi="Times New Roman" w:cs="Times New Roman"/>
                <w:sz w:val="24"/>
                <w:szCs w:val="24"/>
              </w:rPr>
              <w:t>ațional.</w:t>
            </w:r>
          </w:p>
        </w:tc>
      </w:tr>
      <w:tr w:rsidR="00DE5D59" w:rsidRPr="00E05A25" w14:paraId="7A71ECBB" w14:textId="77777777" w:rsidTr="00D656D9">
        <w:tc>
          <w:tcPr>
            <w:tcW w:w="5000" w:type="pct"/>
          </w:tcPr>
          <w:p w14:paraId="3A4B6BC3" w14:textId="66C1409C" w:rsidR="00DE5D59" w:rsidRPr="008E43D6" w:rsidRDefault="00DE5D59" w:rsidP="00FE7F0E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ind w:firstLine="319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>3. Principalele prevederi ale proiectului</w:t>
            </w:r>
          </w:p>
        </w:tc>
      </w:tr>
      <w:tr w:rsidR="007A114E" w:rsidRPr="00E05A25" w14:paraId="3EB80EA2" w14:textId="77777777" w:rsidTr="003D7192">
        <w:trPr>
          <w:trHeight w:val="2676"/>
        </w:trPr>
        <w:tc>
          <w:tcPr>
            <w:tcW w:w="5000" w:type="pct"/>
          </w:tcPr>
          <w:p w14:paraId="3225CDB2" w14:textId="726755A5" w:rsidR="00E24326" w:rsidRDefault="00E24326" w:rsidP="00FE7F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71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Capitolul I</w:t>
            </w:r>
            <w:r w:rsidR="005B1F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93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reglementează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norme</w:t>
            </w:r>
            <w:r w:rsidR="0009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</w:t>
            </w:r>
            <w:proofErr w:type="spellEnd"/>
            <w:r w:rsidR="00FE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generale</w:t>
            </w:r>
            <w:r w:rsidRPr="0034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B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privind</w:t>
            </w:r>
            <w:r w:rsidR="00A40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aplicarea </w:t>
            </w:r>
            <w:proofErr w:type="spellStart"/>
            <w:r w:rsidR="00A40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Titlului</w:t>
            </w:r>
            <w:proofErr w:type="spellEnd"/>
            <w:r w:rsidR="00A40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VI </w:t>
            </w:r>
            <w:r w:rsidR="0009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al Codului - </w:t>
            </w:r>
            <w:r w:rsidR="000932AE" w:rsidRPr="009F25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E</w:t>
            </w:r>
            <w:r w:rsidRPr="009F25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chilibrarea</w:t>
            </w:r>
            <w:r w:rsidR="005B1FBC" w:rsidRPr="009F25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rețelelor de</w:t>
            </w:r>
            <w:r w:rsidRPr="009F25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gaze naturale</w:t>
            </w:r>
            <w:r w:rsidR="00BC7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14:paraId="6F50F0AA" w14:textId="0C9EC62A" w:rsidR="00E24326" w:rsidRPr="00787D5A" w:rsidRDefault="003D7192" w:rsidP="00FE7F0E">
            <w:pPr>
              <w:tabs>
                <w:tab w:val="left" w:pos="851"/>
              </w:tabs>
              <w:spacing w:after="0" w:line="240" w:lineRule="auto"/>
              <w:ind w:firstLine="54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71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Capitolul II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745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U</w:t>
            </w:r>
            <w:r w:rsidR="00E24326" w:rsidRPr="004413F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tilizatorii de sistem </w:t>
            </w:r>
            <w:r w:rsidR="00A745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au obligația</w:t>
            </w:r>
            <w:r w:rsidR="00E243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24326" w:rsidRPr="00441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de a-și </w:t>
            </w:r>
            <w:proofErr w:type="spellStart"/>
            <w:r w:rsidR="00E24326" w:rsidRPr="00441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echilibra</w:t>
            </w:r>
            <w:proofErr w:type="spellEnd"/>
            <w:r w:rsidR="00E24326" w:rsidRPr="00441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E24326" w:rsidRPr="00441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portofoliile</w:t>
            </w:r>
            <w:proofErr w:type="spellEnd"/>
            <w:r w:rsidR="00E24326" w:rsidRPr="00441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pentru a reduce la minimum necesitatea</w:t>
            </w:r>
            <w:r w:rsidR="00A40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ca OST să </w:t>
            </w:r>
            <w:proofErr w:type="spellStart"/>
            <w:r w:rsidR="00A40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întreprindă</w:t>
            </w:r>
            <w:proofErr w:type="spellEnd"/>
            <w:r w:rsidR="00A40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acțiuni</w:t>
            </w:r>
            <w:r w:rsidR="00E24326" w:rsidRPr="00441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 echilibrare</w:t>
            </w:r>
            <w:r w:rsidR="00BB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F2DA325" w14:textId="0ECB8EDD" w:rsidR="00E24326" w:rsidRPr="00BB6AC7" w:rsidRDefault="00E24326" w:rsidP="00FE7F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</w:t>
            </w:r>
            <w:r w:rsidRPr="003D71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Capitolul </w:t>
            </w:r>
            <w:r w:rsidRPr="003D71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III</w:t>
            </w:r>
            <w:r w:rsidRPr="00BB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E7F0E" w:rsidRPr="00BB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reglementează norme privind</w:t>
            </w:r>
            <w:r w:rsidR="00A745A9" w:rsidRPr="00BB6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e</w:t>
            </w:r>
            <w:r w:rsidRPr="00BB6A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chilibrarea operațională, acțiunile de echilibrare </w:t>
            </w:r>
            <w:r w:rsidR="00A40F34" w:rsidRPr="00BB6A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desfășurate de</w:t>
            </w:r>
            <w:r w:rsidRPr="00BB6A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OST, p</w:t>
            </w:r>
            <w:r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roduse</w:t>
            </w:r>
            <w:r w:rsidR="00A40F34"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</w:t>
            </w:r>
            <w:r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standardizate pe termen scurt</w:t>
            </w:r>
            <w:r w:rsidR="00A745A9"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platformele</w:t>
            </w:r>
            <w:r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de tranzacționare</w:t>
            </w:r>
            <w:r w:rsid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4D87FCE" w14:textId="1FD7DE2F" w:rsidR="00E24326" w:rsidRPr="00BB6AC7" w:rsidRDefault="00E24326" w:rsidP="00FE7F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BB6AC7" w:rsidRPr="003D7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Capitolul IV</w:t>
            </w:r>
            <w:r w:rsidRPr="00BB6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45A9"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stabilește</w:t>
            </w:r>
            <w:r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procedura de nominalizare și renom</w:t>
            </w:r>
            <w:r w:rsidR="00A745A9"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ina</w:t>
            </w:r>
            <w:r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lizar</w:t>
            </w:r>
            <w:r w:rsidR="0009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 în punctele de interconectare.</w:t>
            </w:r>
          </w:p>
          <w:p w14:paraId="60ABF8F8" w14:textId="7F2998DA" w:rsidR="00E24326" w:rsidRPr="00BB6AC7" w:rsidRDefault="00E24326" w:rsidP="00FE7F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3D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Capitolul V</w:t>
            </w:r>
            <w:r w:rsidR="00A745A9" w:rsidRPr="00BB6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6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instituie</w:t>
            </w:r>
            <w:r w:rsidR="00BB6AC7" w:rsidRPr="00BB6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p</w:t>
            </w:r>
            <w:r w:rsidR="00A745A9"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rocedura de calculare a dezechilibru</w:t>
            </w:r>
            <w:r w:rsidR="00A40F34"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lui</w:t>
            </w:r>
            <w:r w:rsidR="00A745A9"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zilnic și a plăților pentru dezechilibru zilnic. </w:t>
            </w:r>
            <w:r w:rsidR="00A745A9" w:rsidRPr="00BB6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U</w:t>
            </w:r>
            <w:r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tilizatorii de sistem au obligația să plătească sau au dreptul să primească (după caz) </w:t>
            </w:r>
            <w:r w:rsidR="00A745A9"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plăți pentru</w:t>
            </w:r>
            <w:r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dezechilibru zilnic</w:t>
            </w:r>
            <w:r w:rsidR="00A40F34"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07B3AF4" w14:textId="6ADE2D72" w:rsidR="00E24326" w:rsidRPr="00BB6AC7" w:rsidRDefault="00E24326" w:rsidP="00FE7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6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3D7192" w:rsidRPr="003D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Capitolul VI</w:t>
            </w:r>
            <w:r w:rsidR="003D7192" w:rsidRPr="003D7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OST are dreptul să aplice obligații în cursul zilei pentru a stimula utilizatorii de sistem în vederea reducerii la minimum a necesității de a înt</w:t>
            </w:r>
            <w:r w:rsid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reprinde acțiuni de echilibrare</w:t>
            </w:r>
            <w:r w:rsidR="003D7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52917BF4" w14:textId="5DCC43CC" w:rsidR="00E24326" w:rsidRPr="00BB6AC7" w:rsidRDefault="003D7192" w:rsidP="000932AE">
            <w:pPr>
              <w:spacing w:after="0" w:line="240" w:lineRule="auto"/>
              <w:ind w:firstLine="59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Capitolul VII</w:t>
            </w:r>
            <w:r w:rsidRPr="003D7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4326"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OST nu înregistrează câștiguri sau pierderi ca urmare a achitării sau perceperii de </w:t>
            </w:r>
            <w:r w:rsidR="00642ADE"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plăți pentru dezechilibru zilnic</w:t>
            </w:r>
            <w:r w:rsidR="00E24326"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și alte </w:t>
            </w:r>
            <w:r w:rsidR="00642ADE"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plăți ce țin de</w:t>
            </w:r>
            <w:r w:rsidR="00E24326"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activitățile de echilibrare, care reprezintă de fapt toate activitățile desfășurate de OST în vederea îndeplinirii obligațiilor legate de echilibrarea sistemului de transport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14:paraId="324D2D43" w14:textId="18409121" w:rsidR="00E24326" w:rsidRPr="00BB6AC7" w:rsidRDefault="00E24326" w:rsidP="00FE7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3D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Capitolul VIII</w:t>
            </w:r>
            <w:r w:rsidRPr="00BB6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prevede </w:t>
            </w:r>
            <w:r w:rsidR="00642ADE"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modalitatea de transmitere </w:t>
            </w:r>
            <w:r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de către OST </w:t>
            </w:r>
            <w:r w:rsidR="00BC778B"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utilizatorilor</w:t>
            </w:r>
            <w:r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de siste</w:t>
            </w:r>
            <w:r w:rsidR="00642ADE"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  <w:r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 informațiilor privind starea </w:t>
            </w:r>
            <w:r w:rsidR="00642ADE"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generală a rețelei de transport, </w:t>
            </w:r>
            <w:r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acțiunile de echilibrare ale OST,</w:t>
            </w:r>
            <w:r w:rsidRPr="00BB6A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intrările și ieșirile din zona de echilibrare, </w:t>
            </w:r>
            <w:r w:rsidR="00642ADE"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măsurate</w:t>
            </w:r>
            <w:r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pe parcursul zilei.</w:t>
            </w:r>
          </w:p>
          <w:p w14:paraId="55CE3336" w14:textId="76558F30" w:rsidR="00E24326" w:rsidRPr="00BB6AC7" w:rsidRDefault="00E24326" w:rsidP="00FE7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3D7192" w:rsidRPr="003D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Capitolul </w:t>
            </w:r>
            <w:r w:rsidR="003D7192" w:rsidRPr="003D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IX</w:t>
            </w:r>
            <w:r w:rsidR="003D7192" w:rsidRPr="003D7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OST poate oferi utilizatorilor de sistem un serviciu de flexibilitate prin stocare în conductă</w:t>
            </w:r>
            <w:r w:rsidR="00BC778B"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după ce termenii și condițiile aferente sunt aprobate de Agenți</w:t>
            </w:r>
            <w:r w:rsidR="00C150C8"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r w:rsidR="00BB6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  <w:p w14:paraId="2A9B8BE3" w14:textId="77777777" w:rsidR="00523305" w:rsidRDefault="00E24326" w:rsidP="00BC7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"/>
              </w:tabs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3D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Capitolul </w:t>
            </w:r>
            <w:r w:rsidRPr="003D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  <w:r w:rsidRPr="00BB6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prevede </w:t>
            </w:r>
            <w:r w:rsidR="00642ADE"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condițiile de</w:t>
            </w:r>
            <w:r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642ADE"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apli</w:t>
            </w:r>
            <w:r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care a</w:t>
            </w:r>
            <w:r w:rsidRPr="00BB6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măsurilor</w:t>
            </w:r>
            <w:r w:rsidRPr="005C2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provizorii</w:t>
            </w:r>
            <w:r w:rsidR="00BC7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 către OST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care sunt reflectate în Raportul anu</w:t>
            </w:r>
            <w:r w:rsidR="00642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 consultat în prealabil cu părțile interesate și ulterior prezentat Agenției spre aprobare.</w:t>
            </w:r>
          </w:p>
          <w:p w14:paraId="67A84DA8" w14:textId="45D011D7" w:rsidR="00257E5E" w:rsidRPr="0080007E" w:rsidRDefault="00257E5E" w:rsidP="0025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"/>
              </w:tabs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Totodată, au fost operate modificări la unele puncte din Cod care se referă la determinarea punctelor de intrare și de ieșire și la unele noțiuni pentru a corespunde prevederilor Regulamentului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UE nr. 460/2017. </w:t>
            </w:r>
          </w:p>
        </w:tc>
      </w:tr>
      <w:tr w:rsidR="007A114E" w:rsidRPr="00E05A25" w14:paraId="0AC4926E" w14:textId="77777777" w:rsidTr="00D656D9">
        <w:tc>
          <w:tcPr>
            <w:tcW w:w="5000" w:type="pct"/>
          </w:tcPr>
          <w:p w14:paraId="36162635" w14:textId="77777777" w:rsidR="007A114E" w:rsidRPr="008E43D6" w:rsidRDefault="007A114E" w:rsidP="00FE7F0E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 xml:space="preserve">5. Fundamentarea </w:t>
            </w:r>
            <w:proofErr w:type="spellStart"/>
            <w:r w:rsidRPr="008E43D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>economico</w:t>
            </w:r>
            <w:proofErr w:type="spellEnd"/>
            <w:r w:rsidRPr="008E43D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>-financiară</w:t>
            </w:r>
          </w:p>
        </w:tc>
      </w:tr>
      <w:tr w:rsidR="007A114E" w:rsidRPr="00E05A25" w14:paraId="4CDF1706" w14:textId="77777777" w:rsidTr="00BB6AC7">
        <w:trPr>
          <w:trHeight w:val="1754"/>
        </w:trPr>
        <w:tc>
          <w:tcPr>
            <w:tcW w:w="5000" w:type="pct"/>
          </w:tcPr>
          <w:p w14:paraId="4A94E1AD" w14:textId="198ED380" w:rsidR="000113FF" w:rsidRPr="008E43D6" w:rsidRDefault="000113FF" w:rsidP="00FE7F0E">
            <w:pPr>
              <w:tabs>
                <w:tab w:val="left" w:pos="0"/>
              </w:tabs>
              <w:spacing w:after="0" w:line="240" w:lineRule="auto"/>
              <w:ind w:right="181" w:firstLine="4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Costuri pentru operatorii</w:t>
            </w:r>
            <w:r w:rsidR="007C5D23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sistemului</w:t>
            </w:r>
            <w:r w:rsidR="008840D1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de transport</w:t>
            </w: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14:paraId="4CA29931" w14:textId="34FB87A6" w:rsidR="000113FF" w:rsidRPr="008E43D6" w:rsidRDefault="000113FF" w:rsidP="00FE7F0E">
            <w:pPr>
              <w:pStyle w:val="ListParagraph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31" w:right="181" w:firstLine="4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costuri </w:t>
            </w:r>
            <w:r w:rsidR="00642A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privind </w:t>
            </w: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crearea unei baze de date și/sau achiziționarea software-ul necesar pentru schimbul de date;</w:t>
            </w:r>
          </w:p>
          <w:p w14:paraId="14DBC37F" w14:textId="20A44918" w:rsidR="000113FF" w:rsidRDefault="000113FF" w:rsidP="00FE7F0E">
            <w:pPr>
              <w:pStyle w:val="ListParagraph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31" w:right="181" w:firstLine="4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costuri legate de instruirea personalului operatorului de transport.</w:t>
            </w:r>
          </w:p>
          <w:p w14:paraId="49A4A873" w14:textId="0CCA97CA" w:rsidR="007A114E" w:rsidRPr="00322F67" w:rsidRDefault="00322F67" w:rsidP="00FE7F0E">
            <w:pPr>
              <w:pStyle w:val="ListParagraph"/>
              <w:tabs>
                <w:tab w:val="left" w:pos="0"/>
              </w:tabs>
              <w:spacing w:after="0" w:line="240" w:lineRule="auto"/>
              <w:ind w:left="0" w:right="181" w:firstLine="4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Costurile OST pentru prestarea activității de transport al gazelor naturale sunt incluse în tarifele reglementate aprobate de Agenție.</w:t>
            </w:r>
          </w:p>
        </w:tc>
      </w:tr>
      <w:tr w:rsidR="007A114E" w:rsidRPr="00E05A25" w14:paraId="308E0D8D" w14:textId="77777777" w:rsidTr="00D656D9">
        <w:tc>
          <w:tcPr>
            <w:tcW w:w="5000" w:type="pct"/>
          </w:tcPr>
          <w:p w14:paraId="25831374" w14:textId="77777777" w:rsidR="007A114E" w:rsidRPr="008E43D6" w:rsidRDefault="007A114E" w:rsidP="00FE7F0E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>6. Modul de încorporare a actului în cadrul normativ în vigoare</w:t>
            </w:r>
          </w:p>
        </w:tc>
      </w:tr>
      <w:tr w:rsidR="007A114E" w:rsidRPr="00E05A25" w14:paraId="32DC0638" w14:textId="77777777" w:rsidTr="009F255F">
        <w:trPr>
          <w:trHeight w:val="1396"/>
        </w:trPr>
        <w:tc>
          <w:tcPr>
            <w:tcW w:w="5000" w:type="pct"/>
          </w:tcPr>
          <w:p w14:paraId="54AAADD7" w14:textId="1FC6E8B8" w:rsidR="008E43D6" w:rsidRPr="008E43D6" w:rsidRDefault="009F255F" w:rsidP="001A15C8">
            <w:pPr>
              <w:pStyle w:val="ListParagraph"/>
              <w:tabs>
                <w:tab w:val="left" w:pos="690"/>
              </w:tabs>
              <w:spacing w:after="0" w:line="240" w:lineRule="auto"/>
              <w:ind w:left="0" w:firstLine="54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În scopul respectării</w:t>
            </w:r>
            <w:r w:rsidR="00642A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B49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termenelor stabilite în</w:t>
            </w:r>
            <w:r w:rsidR="00642A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Deciz</w:t>
            </w:r>
            <w:r w:rsidR="00EB49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ia</w:t>
            </w:r>
            <w:r w:rsidR="00642A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B49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</w:t>
            </w:r>
            <w:r w:rsidR="00642ADE" w:rsidRPr="00CC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r. 2019/01/PHLG-EnC al Grupului Permanent de Nivel </w:t>
            </w:r>
            <w:proofErr w:type="spellStart"/>
            <w:r w:rsidR="00642ADE" w:rsidRPr="00CC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Înalt</w:t>
            </w:r>
            <w:proofErr w:type="spellEnd"/>
            <w:r w:rsidR="00642ADE" w:rsidRPr="00CC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din 12 decembrie 2019</w:t>
            </w:r>
            <w:r w:rsidR="00642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="009276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Hotărâ</w:t>
            </w:r>
            <w:r w:rsidR="007A114E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</w:t>
            </w:r>
            <w:r w:rsidR="00363C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ea</w:t>
            </w:r>
            <w:r w:rsidR="009276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ANRE</w:t>
            </w:r>
            <w:r w:rsidR="007A114E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privind aprobarea </w:t>
            </w:r>
            <w:r w:rsidR="00E24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modificărilor </w:t>
            </w:r>
            <w:r w:rsidR="00642A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la </w:t>
            </w:r>
            <w:r w:rsidR="00962EB1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Codului rețelelor de gaze naturale</w:t>
            </w:r>
            <w:r w:rsidR="00BB6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A15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urmează să intre</w:t>
            </w:r>
            <w:r w:rsidR="00642A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în vigoare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la data de</w:t>
            </w:r>
            <w:r w:rsidR="00EB49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42ADE" w:rsidRPr="00EB4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12 decembrie </w:t>
            </w:r>
            <w:r w:rsidR="00EB49BD" w:rsidRPr="00EB4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(termenul stabilit în Hotărâre)</w:t>
            </w:r>
            <w:r w:rsidR="00EB49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642A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concomitent</w:t>
            </w:r>
            <w:r w:rsidR="00363C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B49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cu intrarea în vigoare a </w:t>
            </w:r>
            <w:r w:rsidR="00363C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Regulilor pieței gazelor naturale apro</w:t>
            </w:r>
            <w:r w:rsidR="00EB49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bate prin Hotărârea ANRE 534/2019</w:t>
            </w:r>
            <w:r w:rsidR="00363C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7A114E" w:rsidRPr="00E05A25" w14:paraId="71A13F15" w14:textId="77777777" w:rsidTr="00D656D9">
        <w:tc>
          <w:tcPr>
            <w:tcW w:w="5000" w:type="pct"/>
          </w:tcPr>
          <w:p w14:paraId="3DE76883" w14:textId="77777777" w:rsidR="007A114E" w:rsidRPr="008E43D6" w:rsidRDefault="007A114E" w:rsidP="00FE7F0E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>7. Avizarea şi consultarea publică a proiectului</w:t>
            </w:r>
          </w:p>
        </w:tc>
      </w:tr>
      <w:tr w:rsidR="007A114E" w:rsidRPr="00E05A25" w14:paraId="58C50144" w14:textId="77777777" w:rsidTr="009F255F">
        <w:trPr>
          <w:trHeight w:val="2824"/>
        </w:trPr>
        <w:tc>
          <w:tcPr>
            <w:tcW w:w="5000" w:type="pct"/>
          </w:tcPr>
          <w:p w14:paraId="46C84DEE" w14:textId="2085C9CF" w:rsidR="008F2A66" w:rsidRPr="008E43D6" w:rsidRDefault="009F592D" w:rsidP="00BB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57"/>
              <w:jc w:val="both"/>
              <w:rPr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În conformitate cu art. 114 alin</w:t>
            </w:r>
            <w:r w:rsidR="00EB49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(10)</w:t>
            </w:r>
            <w:r w:rsidR="00BB6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F2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ANRE</w:t>
            </w:r>
            <w:r w:rsidR="008F2A66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a desemnat SR</w:t>
            </w:r>
            <w:r w:rsidR="009276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 „Moldovatransgaz” (MTG) responsabil</w:t>
            </w:r>
            <w:r w:rsidR="008F2A66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de elaborarea</w:t>
            </w:r>
            <w:r w:rsidR="009276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8F2A66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în colaborare cu ceilalți operatori de sistem și prezentarea spre examinare și aprobare a proiectului </w:t>
            </w:r>
            <w:r w:rsidR="00E24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de modificare a </w:t>
            </w:r>
            <w:r w:rsidR="008F2A66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Cod</w:t>
            </w:r>
            <w:r w:rsidR="009276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ului rețelelor de gaze naturale. </w:t>
            </w:r>
            <w:r w:rsidR="008F2A66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Proiectul a fost prezentat </w:t>
            </w:r>
            <w:r w:rsidR="00E24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de OST </w:t>
            </w:r>
            <w:r w:rsidR="008F2A66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la Agenție</w:t>
            </w:r>
            <w:r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8F2A66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fiind propus spre consultare publică părților interesate.</w:t>
            </w:r>
            <w:r w:rsidR="008F2A66" w:rsidRPr="008E43D6">
              <w:rPr>
                <w:sz w:val="24"/>
                <w:szCs w:val="24"/>
                <w:lang w:eastAsia="ar-SA"/>
              </w:rPr>
              <w:t xml:space="preserve"> </w:t>
            </w:r>
          </w:p>
          <w:p w14:paraId="51FDEC22" w14:textId="668F20E1" w:rsidR="007A114E" w:rsidRPr="008E43D6" w:rsidRDefault="00703CF5" w:rsidP="00BB6AC7">
            <w:pPr>
              <w:tabs>
                <w:tab w:val="left" w:pos="284"/>
                <w:tab w:val="num" w:pos="360"/>
              </w:tabs>
              <w:suppressAutoHyphens/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Proiectul, </w:t>
            </w:r>
            <w:r w:rsidR="009F2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</w:t>
            </w:r>
            <w:r w:rsidR="000113FF" w:rsidRPr="008E43D6">
              <w:rPr>
                <w:rFonts w:ascii="Times New Roman" w:hAnsi="Times New Roman" w:cs="Times New Roman"/>
                <w:sz w:val="24"/>
                <w:szCs w:val="24"/>
              </w:rPr>
              <w:t>ota informativă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255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abelul de concordanță cu legislația UE</w:t>
            </w:r>
            <w:r w:rsidR="009F7508" w:rsidRPr="008E43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5D23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</w:t>
            </w:r>
            <w:r w:rsidR="007C5D23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fost </w:t>
            </w:r>
            <w:r w:rsidR="009F592D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plasat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</w:t>
            </w:r>
            <w:r w:rsidR="009F592D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C5D23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spre consultare publică și avizare</w:t>
            </w:r>
            <w:r w:rsidR="000113FF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E10D3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</w:t>
            </w:r>
            <w:r w:rsidR="008F2A66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ă</w:t>
            </w:r>
            <w:r w:rsidR="009E10D3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rților</w:t>
            </w:r>
            <w:r w:rsidR="007A114E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interesate în conformitate cu Legea privind transparenţa în procesul decizional nr. 238/2008 şi Legea </w:t>
            </w:r>
            <w:r w:rsidR="007C5D23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privind actele normative</w:t>
            </w:r>
            <w:r w:rsidR="00BC778B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nr. 100</w:t>
            </w:r>
            <w:r w:rsidR="00BC7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r w:rsidR="00BC778B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</w:t>
            </w:r>
            <w:r w:rsidR="00122AA7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3B6CD21A" w14:textId="1B4190AF" w:rsidR="008E43D6" w:rsidRPr="008E43D6" w:rsidRDefault="007A114E" w:rsidP="009F255F">
            <w:pPr>
              <w:tabs>
                <w:tab w:val="num" w:pos="360"/>
              </w:tabs>
              <w:suppressAutoHyphens/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Propunerile şi obiecţiile înaintate la </w:t>
            </w:r>
            <w:r w:rsidRPr="008C32A3">
              <w:rPr>
                <w:rFonts w:ascii="Times New Roman" w:hAnsi="Times New Roman" w:cs="Times New Roman"/>
                <w:sz w:val="24"/>
                <w:szCs w:val="24"/>
              </w:rPr>
              <w:t xml:space="preserve">proiectul </w:t>
            </w:r>
            <w:r w:rsidR="00E13C01">
              <w:rPr>
                <w:rFonts w:ascii="Times New Roman" w:hAnsi="Times New Roman" w:cs="Times New Roman"/>
                <w:sz w:val="24"/>
                <w:szCs w:val="24"/>
              </w:rPr>
              <w:t xml:space="preserve">de modificare a </w:t>
            </w:r>
            <w:r w:rsidR="000113FF" w:rsidRPr="008C32A3">
              <w:rPr>
                <w:rFonts w:ascii="Times New Roman" w:hAnsi="Times New Roman" w:cs="Times New Roman"/>
                <w:sz w:val="24"/>
                <w:szCs w:val="24"/>
              </w:rPr>
              <w:t xml:space="preserve">Codului rețelelor de gaze naturale </w:t>
            </w:r>
            <w:r w:rsidR="00EB49BD">
              <w:rPr>
                <w:rFonts w:ascii="Times New Roman" w:hAnsi="Times New Roman" w:cs="Times New Roman"/>
                <w:sz w:val="24"/>
                <w:szCs w:val="24"/>
              </w:rPr>
              <w:t>au fost</w:t>
            </w:r>
            <w:r w:rsidR="009F592D" w:rsidRPr="008C3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9BD">
              <w:rPr>
                <w:rFonts w:ascii="Times New Roman" w:hAnsi="Times New Roman" w:cs="Times New Roman"/>
                <w:sz w:val="24"/>
                <w:szCs w:val="24"/>
              </w:rPr>
              <w:t>incluse în S</w:t>
            </w:r>
            <w:r w:rsidR="009F255F">
              <w:rPr>
                <w:rFonts w:ascii="Times New Roman" w:hAnsi="Times New Roman" w:cs="Times New Roman"/>
                <w:sz w:val="24"/>
                <w:szCs w:val="24"/>
              </w:rPr>
              <w:t>inteza obiecțiilor</w:t>
            </w:r>
            <w:r w:rsidRPr="008C32A3">
              <w:rPr>
                <w:rFonts w:ascii="Times New Roman" w:hAnsi="Times New Roman" w:cs="Times New Roman"/>
                <w:sz w:val="24"/>
                <w:szCs w:val="24"/>
              </w:rPr>
              <w:t xml:space="preserve"> prezentate de către părţile interesate.</w:t>
            </w:r>
            <w:r w:rsidR="00EB4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6D9">
              <w:rPr>
                <w:rFonts w:ascii="Times New Roman" w:hAnsi="Times New Roman" w:cs="Times New Roman"/>
                <w:sz w:val="24"/>
                <w:szCs w:val="24"/>
              </w:rPr>
              <w:t xml:space="preserve">În scopul definitivării proiectului obiecțiile și propunerile </w:t>
            </w:r>
            <w:r w:rsidR="00BC778B">
              <w:rPr>
                <w:rFonts w:ascii="Times New Roman" w:hAnsi="Times New Roman" w:cs="Times New Roman"/>
                <w:sz w:val="24"/>
                <w:szCs w:val="24"/>
              </w:rPr>
              <w:t xml:space="preserve">recepționate </w:t>
            </w:r>
            <w:r w:rsidR="00EB49BD">
              <w:rPr>
                <w:rFonts w:ascii="Times New Roman" w:hAnsi="Times New Roman" w:cs="Times New Roman"/>
                <w:sz w:val="24"/>
                <w:szCs w:val="24"/>
              </w:rPr>
              <w:t>au fost</w:t>
            </w:r>
            <w:r w:rsidR="00E13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2A3">
              <w:rPr>
                <w:rFonts w:ascii="Times New Roman" w:hAnsi="Times New Roman" w:cs="Times New Roman"/>
                <w:sz w:val="24"/>
                <w:szCs w:val="24"/>
              </w:rPr>
              <w:t xml:space="preserve">discutate în cadrul ședințelor </w:t>
            </w:r>
            <w:r w:rsidR="00BC778B">
              <w:rPr>
                <w:rFonts w:ascii="Times New Roman" w:hAnsi="Times New Roman" w:cs="Times New Roman"/>
                <w:sz w:val="24"/>
                <w:szCs w:val="24"/>
              </w:rPr>
              <w:t>de lucru</w:t>
            </w:r>
            <w:r w:rsidR="00BB6AC7">
              <w:rPr>
                <w:rFonts w:ascii="Times New Roman" w:hAnsi="Times New Roman" w:cs="Times New Roman"/>
                <w:sz w:val="24"/>
                <w:szCs w:val="24"/>
              </w:rPr>
              <w:t xml:space="preserve"> organizate de ANRE</w:t>
            </w:r>
            <w:r w:rsidR="00BC7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3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5D59" w:rsidRPr="00E05A25" w14:paraId="39FDB1D8" w14:textId="77777777" w:rsidTr="00D656D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6732" w14:textId="02D26C0A" w:rsidR="00EB49BD" w:rsidRPr="00EB49BD" w:rsidRDefault="00DE5D59" w:rsidP="00FE7F0E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 xml:space="preserve">8. Constatările expertizei </w:t>
            </w:r>
            <w:proofErr w:type="spellStart"/>
            <w:r w:rsidRPr="008E43D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anticorupţie</w:t>
            </w:r>
            <w:proofErr w:type="spellEnd"/>
          </w:p>
        </w:tc>
      </w:tr>
      <w:tr w:rsidR="00DE5D59" w:rsidRPr="00E05A25" w14:paraId="14CCACB3" w14:textId="77777777" w:rsidTr="009F255F">
        <w:trPr>
          <w:trHeight w:val="9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8CA6" w14:textId="383F1678" w:rsidR="00DE5D59" w:rsidRPr="00EB49BD" w:rsidRDefault="001865A4" w:rsidP="00C150C8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ind w:firstLine="31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o-MD" w:eastAsia="ar-SA"/>
              </w:rPr>
            </w:pPr>
            <w:r w:rsidRPr="002C6713">
              <w:rPr>
                <w:rFonts w:ascii="Times New Roman" w:eastAsia="Batang" w:hAnsi="Times New Roman"/>
                <w:bCs/>
                <w:sz w:val="24"/>
                <w:szCs w:val="24"/>
                <w:lang w:eastAsia="ja-JP"/>
              </w:rPr>
              <w:t>Proiectul a fost definitivat cu luarea în considerare a</w:t>
            </w:r>
            <w:r w:rsidR="00BC778B">
              <w:rPr>
                <w:rFonts w:ascii="Times New Roman" w:eastAsia="Batang" w:hAnsi="Times New Roman"/>
                <w:bCs/>
                <w:sz w:val="24"/>
                <w:szCs w:val="24"/>
                <w:lang w:eastAsia="ja-JP"/>
              </w:rPr>
              <w:t xml:space="preserve"> recomandărilor</w:t>
            </w:r>
            <w:r>
              <w:rPr>
                <w:rFonts w:ascii="Times New Roman" w:eastAsia="Batang" w:hAnsi="Times New Roman"/>
                <w:bCs/>
                <w:sz w:val="24"/>
                <w:szCs w:val="24"/>
                <w:lang w:eastAsia="ja-JP"/>
              </w:rPr>
              <w:t xml:space="preserve"> Raportului de e</w:t>
            </w:r>
            <w:r w:rsidRPr="002C6713">
              <w:rPr>
                <w:rFonts w:ascii="Times New Roman" w:eastAsia="Batang" w:hAnsi="Times New Roman"/>
                <w:bCs/>
                <w:sz w:val="24"/>
                <w:szCs w:val="24"/>
                <w:lang w:eastAsia="ja-JP"/>
              </w:rPr>
              <w:t>xpertiz</w:t>
            </w:r>
            <w:r>
              <w:rPr>
                <w:rFonts w:ascii="Times New Roman" w:eastAsia="Batang" w:hAnsi="Times New Roman"/>
                <w:bCs/>
                <w:sz w:val="24"/>
                <w:szCs w:val="24"/>
                <w:lang w:eastAsia="ja-JP"/>
              </w:rPr>
              <w:t>ă</w:t>
            </w:r>
            <w:r w:rsidRPr="001865A4">
              <w:rPr>
                <w:rFonts w:ascii="Times New Roman" w:eastAsia="Batang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="00BC778B">
              <w:rPr>
                <w:rFonts w:ascii="Times New Roman" w:eastAsia="Batang" w:hAnsi="Times New Roman"/>
                <w:bCs/>
                <w:sz w:val="24"/>
                <w:szCs w:val="24"/>
                <w:lang w:eastAsia="ja-JP"/>
              </w:rPr>
              <w:t xml:space="preserve">al CNA </w:t>
            </w:r>
            <w:r w:rsidRPr="001865A4">
              <w:rPr>
                <w:rFonts w:ascii="Times New Roman" w:eastAsia="Batang" w:hAnsi="Times New Roman"/>
                <w:bCs/>
                <w:sz w:val="24"/>
                <w:szCs w:val="24"/>
                <w:lang w:eastAsia="ja-JP"/>
              </w:rPr>
              <w:t>Nr. EDA20/6935 din 11.11.2020</w:t>
            </w:r>
            <w:r>
              <w:rPr>
                <w:rFonts w:ascii="Times New Roman" w:eastAsia="Batang" w:hAnsi="Times New Roman"/>
                <w:bCs/>
                <w:sz w:val="24"/>
                <w:szCs w:val="24"/>
                <w:lang w:eastAsia="ja-JP"/>
              </w:rPr>
              <w:t xml:space="preserve"> care a fost inclus în S</w:t>
            </w:r>
            <w:r w:rsidRPr="002C6713">
              <w:rPr>
                <w:rFonts w:ascii="Times New Roman" w:eastAsia="Batang" w:hAnsi="Times New Roman"/>
                <w:bCs/>
                <w:sz w:val="24"/>
                <w:szCs w:val="24"/>
                <w:lang w:eastAsia="ja-JP"/>
              </w:rPr>
              <w:t>int</w:t>
            </w:r>
            <w:r>
              <w:rPr>
                <w:rFonts w:ascii="Times New Roman" w:eastAsia="Batang" w:hAnsi="Times New Roman"/>
                <w:bCs/>
                <w:sz w:val="24"/>
                <w:szCs w:val="24"/>
                <w:lang w:eastAsia="ja-JP"/>
              </w:rPr>
              <w:t xml:space="preserve">eza propunerilor și obiecțiilor, </w:t>
            </w:r>
            <w:r w:rsidRPr="002C6713">
              <w:rPr>
                <w:rFonts w:ascii="Times New Roman" w:eastAsia="Batang" w:hAnsi="Times New Roman"/>
                <w:bCs/>
                <w:sz w:val="24"/>
                <w:szCs w:val="24"/>
                <w:lang w:eastAsia="ja-JP"/>
              </w:rPr>
              <w:t>publicat</w:t>
            </w:r>
            <w:r>
              <w:rPr>
                <w:rFonts w:ascii="Times New Roman" w:eastAsia="Batang" w:hAnsi="Times New Roman"/>
                <w:bCs/>
                <w:sz w:val="24"/>
                <w:szCs w:val="24"/>
                <w:lang w:eastAsia="ja-JP"/>
              </w:rPr>
              <w:t>ă</w:t>
            </w:r>
            <w:r w:rsidRPr="002C6713">
              <w:rPr>
                <w:rFonts w:ascii="Times New Roman" w:eastAsia="Batang" w:hAnsi="Times New Roman"/>
                <w:bCs/>
                <w:sz w:val="24"/>
                <w:szCs w:val="24"/>
                <w:lang w:eastAsia="ja-JP"/>
              </w:rPr>
              <w:t xml:space="preserve"> pe pagina </w:t>
            </w:r>
            <w:r>
              <w:rPr>
                <w:rFonts w:ascii="Times New Roman" w:eastAsia="Batang" w:hAnsi="Times New Roman"/>
                <w:bCs/>
                <w:sz w:val="24"/>
                <w:szCs w:val="24"/>
                <w:lang w:eastAsia="ja-JP"/>
              </w:rPr>
              <w:t>electronică</w:t>
            </w:r>
            <w:r w:rsidRPr="002C6713">
              <w:rPr>
                <w:rFonts w:ascii="Times New Roman" w:eastAsia="Batang" w:hAnsi="Times New Roman"/>
                <w:bCs/>
                <w:sz w:val="24"/>
                <w:szCs w:val="24"/>
                <w:lang w:eastAsia="ja-JP"/>
              </w:rPr>
              <w:t xml:space="preserve"> a Agenției.</w:t>
            </w:r>
          </w:p>
        </w:tc>
      </w:tr>
      <w:tr w:rsidR="00DE5D59" w:rsidRPr="00E05A25" w14:paraId="1CB54204" w14:textId="77777777" w:rsidTr="00D656D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1431" w14:textId="77777777" w:rsidR="00DE5D59" w:rsidRPr="008E43D6" w:rsidRDefault="00DE5D59" w:rsidP="00FE7F0E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9. Constatările expertizei de compatibilitate</w:t>
            </w:r>
          </w:p>
        </w:tc>
      </w:tr>
      <w:tr w:rsidR="00D656D9" w:rsidRPr="00E05A25" w14:paraId="2331C4BE" w14:textId="77777777" w:rsidTr="009F255F">
        <w:trPr>
          <w:trHeight w:val="1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A3EF" w14:textId="5E8EDD77" w:rsidR="001865A4" w:rsidRPr="00FE7F0E" w:rsidRDefault="00EB49BD" w:rsidP="00BC778B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ind w:firstLine="17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FE7F0E" w:rsidRPr="00FE7F0E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Conform d</w:t>
            </w:r>
            <w:r w:rsidRPr="00FE7F0E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eclarați</w:t>
            </w:r>
            <w:r w:rsidR="00FE7F0E" w:rsidRPr="00FE7F0E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e</w:t>
            </w:r>
            <w:r w:rsidR="00BC778B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i</w:t>
            </w:r>
            <w:r w:rsidRPr="001865A4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de compatibilitate </w:t>
            </w:r>
            <w:r w:rsidRPr="009F255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ar-SA"/>
              </w:rPr>
              <w:t>nr. 31/02-3-7834</w:t>
            </w:r>
            <w:r w:rsidR="00FE7F0E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î</w:t>
            </w:r>
            <w:r w:rsidR="001865A4" w:rsidRPr="001865A4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n urma evaluării proiectului național din perspectiva compatibilității cu legislația UE, se apreciază că aceasta și-a atins finalitatea urmărită în</w:t>
            </w:r>
            <w:r w:rsidR="00BC778B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ceia ce privește transpunerea</w:t>
            </w:r>
            <w:r w:rsidR="001865A4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w:anchor="_bookmark5" w:history="1">
              <w:r w:rsidR="001865A4" w:rsidRPr="00BB6A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Regulamentului (UE) Nr. 312/2014 al Comisiei din 26 martie 2014 de stabilire a unui cod de rețea</w:t>
              </w:r>
            </w:hyperlink>
            <w:r w:rsidR="001865A4"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w:anchor="_bookmark5" w:history="1">
              <w:r w:rsidR="001865A4" w:rsidRPr="00BB6A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privind echilibrarea rețelelor de transport de gaz</w:t>
              </w:r>
            </w:hyperlink>
            <w:r w:rsidR="001865A4"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="00BC778B" w:rsidRPr="00B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DE5D59" w:rsidRPr="00E05A25" w14:paraId="226AB05A" w14:textId="77777777" w:rsidTr="00D656D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CC18" w14:textId="77777777" w:rsidR="00DE5D59" w:rsidRPr="008E43D6" w:rsidRDefault="00DE5D59" w:rsidP="00FE7F0E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10. Constatările expertizei juridice</w:t>
            </w:r>
          </w:p>
        </w:tc>
      </w:tr>
      <w:tr w:rsidR="00EF4C7E" w:rsidRPr="00E05A25" w14:paraId="217CDBC6" w14:textId="77777777" w:rsidTr="009F255F">
        <w:trPr>
          <w:trHeight w:val="10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5A94" w14:textId="7A5C96A5" w:rsidR="00EF4C7E" w:rsidRPr="00E05A25" w:rsidRDefault="001865A4" w:rsidP="00BC778B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ind w:firstLine="314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  <w:r w:rsidRPr="002C6713">
              <w:rPr>
                <w:rFonts w:ascii="Times New Roman" w:eastAsia="Batang" w:hAnsi="Times New Roman"/>
                <w:bCs/>
                <w:sz w:val="24"/>
                <w:szCs w:val="24"/>
                <w:lang w:eastAsia="ja-JP"/>
              </w:rPr>
              <w:t xml:space="preserve">Proiectul a fost definitivat cu luarea în considerare a </w:t>
            </w:r>
            <w:r>
              <w:rPr>
                <w:rFonts w:ascii="Times New Roman" w:eastAsia="Batang" w:hAnsi="Times New Roman"/>
                <w:bCs/>
                <w:sz w:val="24"/>
                <w:szCs w:val="24"/>
                <w:lang w:eastAsia="ja-JP"/>
              </w:rPr>
              <w:t>e</w:t>
            </w:r>
            <w:r w:rsidRPr="002C6713">
              <w:rPr>
                <w:rFonts w:ascii="Times New Roman" w:eastAsia="Batang" w:hAnsi="Times New Roman"/>
                <w:bCs/>
                <w:sz w:val="24"/>
                <w:szCs w:val="24"/>
                <w:lang w:eastAsia="ja-JP"/>
              </w:rPr>
              <w:t>x</w:t>
            </w:r>
            <w:r w:rsidR="009F255F">
              <w:rPr>
                <w:rFonts w:ascii="Times New Roman" w:eastAsia="Batang" w:hAnsi="Times New Roman"/>
                <w:bCs/>
                <w:sz w:val="24"/>
                <w:szCs w:val="24"/>
                <w:lang w:eastAsia="ja-JP"/>
              </w:rPr>
              <w:t>pertizei Ministerului Justiției</w:t>
            </w:r>
            <w:r w:rsidRPr="002C6713">
              <w:rPr>
                <w:rFonts w:ascii="Times New Roman" w:eastAsia="Batang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9F255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zh-CN"/>
              </w:rPr>
              <w:t xml:space="preserve">nr. </w:t>
            </w:r>
            <w:r w:rsidRPr="009F255F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ar-SA"/>
              </w:rPr>
              <w:t>04/6842 din 16.09.2020</w:t>
            </w:r>
            <w:r w:rsidR="009F255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zh-CN"/>
              </w:rPr>
              <w:t>.</w:t>
            </w:r>
            <w:r w:rsidRPr="002C6713">
              <w:rPr>
                <w:rFonts w:ascii="Times New Roman" w:eastAsia="Batang" w:hAnsi="Times New Roman"/>
                <w:bCs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Batang" w:hAnsi="Times New Roman"/>
                <w:bCs/>
                <w:sz w:val="24"/>
                <w:szCs w:val="24"/>
                <w:lang w:eastAsia="ja-JP"/>
              </w:rPr>
              <w:t>I</w:t>
            </w:r>
            <w:r w:rsidRPr="002C6713">
              <w:rPr>
                <w:rFonts w:ascii="Times New Roman" w:eastAsia="Batang" w:hAnsi="Times New Roman"/>
                <w:bCs/>
                <w:sz w:val="24"/>
                <w:szCs w:val="24"/>
                <w:lang w:eastAsia="ja-JP"/>
              </w:rPr>
              <w:t>nformațiile cu privire la accep</w:t>
            </w:r>
            <w:r>
              <w:rPr>
                <w:rFonts w:ascii="Times New Roman" w:eastAsia="Batang" w:hAnsi="Times New Roman"/>
                <w:bCs/>
                <w:sz w:val="24"/>
                <w:szCs w:val="24"/>
                <w:lang w:eastAsia="ja-JP"/>
              </w:rPr>
              <w:t>tarea sau respingerea acestora sunt incluse în S</w:t>
            </w:r>
            <w:r w:rsidRPr="002C6713">
              <w:rPr>
                <w:rFonts w:ascii="Times New Roman" w:eastAsia="Batang" w:hAnsi="Times New Roman"/>
                <w:bCs/>
                <w:sz w:val="24"/>
                <w:szCs w:val="24"/>
                <w:lang w:eastAsia="ja-JP"/>
              </w:rPr>
              <w:t>inteza propunerilor și obiecțiilor</w:t>
            </w:r>
            <w:r>
              <w:rPr>
                <w:rFonts w:ascii="Times New Roman" w:eastAsia="Batang" w:hAnsi="Times New Roman"/>
                <w:bCs/>
                <w:sz w:val="24"/>
                <w:szCs w:val="24"/>
                <w:lang w:eastAsia="ja-JP"/>
              </w:rPr>
              <w:t>, publicată</w:t>
            </w:r>
            <w:r w:rsidRPr="002C6713">
              <w:rPr>
                <w:rFonts w:ascii="Times New Roman" w:eastAsia="Batang" w:hAnsi="Times New Roman"/>
                <w:bCs/>
                <w:sz w:val="24"/>
                <w:szCs w:val="24"/>
                <w:lang w:eastAsia="ja-JP"/>
              </w:rPr>
              <w:t xml:space="preserve"> pe pagina</w:t>
            </w:r>
            <w:r>
              <w:rPr>
                <w:rFonts w:ascii="Times New Roman" w:eastAsia="Batang" w:hAnsi="Times New Roman"/>
                <w:bCs/>
                <w:sz w:val="24"/>
                <w:szCs w:val="24"/>
                <w:lang w:eastAsia="ja-JP"/>
              </w:rPr>
              <w:t xml:space="preserve"> electronică</w:t>
            </w:r>
            <w:r w:rsidRPr="002C6713">
              <w:rPr>
                <w:rFonts w:ascii="Times New Roman" w:eastAsia="Batang" w:hAnsi="Times New Roman"/>
                <w:bCs/>
                <w:sz w:val="24"/>
                <w:szCs w:val="24"/>
                <w:lang w:eastAsia="ja-JP"/>
              </w:rPr>
              <w:t xml:space="preserve"> a Agenției.</w:t>
            </w:r>
            <w:r>
              <w:rPr>
                <w:rFonts w:ascii="Times New Roman" w:eastAsia="Batang" w:hAnsi="Times New Roman"/>
                <w:bCs/>
                <w:sz w:val="24"/>
                <w:szCs w:val="24"/>
                <w:lang w:eastAsia="ja-JP"/>
              </w:rPr>
              <w:t xml:space="preserve"> </w:t>
            </w:r>
          </w:p>
        </w:tc>
      </w:tr>
    </w:tbl>
    <w:p w14:paraId="3268E3AA" w14:textId="757A5AAA" w:rsidR="00DE5D59" w:rsidRPr="00E05A25" w:rsidRDefault="00DE5D59" w:rsidP="00FE7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CF2CD11" w14:textId="77777777" w:rsidR="00DE5D59" w:rsidRPr="00E05A25" w:rsidRDefault="00DE5D59" w:rsidP="00FE7F0E">
      <w:pPr>
        <w:spacing w:after="0" w:line="240" w:lineRule="auto"/>
        <w:ind w:right="142" w:firstLine="567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E05A2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Veaceslav UNTILA</w:t>
      </w:r>
    </w:p>
    <w:p w14:paraId="24DE9E53" w14:textId="71D7A25B" w:rsidR="00323DF6" w:rsidRPr="00A1038E" w:rsidRDefault="00DE5D59" w:rsidP="00FE7F0E">
      <w:pPr>
        <w:spacing w:after="0" w:line="240" w:lineRule="auto"/>
        <w:ind w:right="142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E05A2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Director general</w:t>
      </w:r>
    </w:p>
    <w:sectPr w:rsidR="00323DF6" w:rsidRPr="00A1038E" w:rsidSect="001865A4">
      <w:pgSz w:w="11906" w:h="16838"/>
      <w:pgMar w:top="568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8AFC"/>
      </v:shape>
    </w:pict>
  </w:numPicBullet>
  <w:abstractNum w:abstractNumId="0" w15:restartNumberingAfterBreak="0">
    <w:nsid w:val="00A72D9B"/>
    <w:multiLevelType w:val="hybridMultilevel"/>
    <w:tmpl w:val="CC7C5F12"/>
    <w:lvl w:ilvl="0" w:tplc="49B4CE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59E1E9C"/>
    <w:multiLevelType w:val="hybridMultilevel"/>
    <w:tmpl w:val="E87A4B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93D31"/>
    <w:multiLevelType w:val="hybridMultilevel"/>
    <w:tmpl w:val="6C883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A0900"/>
    <w:multiLevelType w:val="hybridMultilevel"/>
    <w:tmpl w:val="70143998"/>
    <w:lvl w:ilvl="0" w:tplc="A68002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9357E"/>
    <w:multiLevelType w:val="hybridMultilevel"/>
    <w:tmpl w:val="D32CCA80"/>
    <w:lvl w:ilvl="0" w:tplc="464672B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5" w15:restartNumberingAfterBreak="0">
    <w:nsid w:val="070E6536"/>
    <w:multiLevelType w:val="hybridMultilevel"/>
    <w:tmpl w:val="A462DE4C"/>
    <w:lvl w:ilvl="0" w:tplc="A9A0D3B6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F5882AC6">
      <w:start w:val="1"/>
      <w:numFmt w:val="lowerLetter"/>
      <w:lvlText w:val="%2)"/>
      <w:lvlJc w:val="left"/>
      <w:pPr>
        <w:ind w:left="563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6355" w:hanging="180"/>
      </w:pPr>
    </w:lvl>
    <w:lvl w:ilvl="3" w:tplc="0419000F">
      <w:start w:val="1"/>
      <w:numFmt w:val="decimal"/>
      <w:lvlText w:val="%4."/>
      <w:lvlJc w:val="left"/>
      <w:pPr>
        <w:ind w:left="7075" w:hanging="360"/>
      </w:pPr>
    </w:lvl>
    <w:lvl w:ilvl="4" w:tplc="04190019" w:tentative="1">
      <w:start w:val="1"/>
      <w:numFmt w:val="lowerLetter"/>
      <w:lvlText w:val="%5."/>
      <w:lvlJc w:val="left"/>
      <w:pPr>
        <w:ind w:left="7795" w:hanging="360"/>
      </w:pPr>
    </w:lvl>
    <w:lvl w:ilvl="5" w:tplc="0419001B" w:tentative="1">
      <w:start w:val="1"/>
      <w:numFmt w:val="lowerRoman"/>
      <w:lvlText w:val="%6."/>
      <w:lvlJc w:val="right"/>
      <w:pPr>
        <w:ind w:left="8515" w:hanging="180"/>
      </w:pPr>
    </w:lvl>
    <w:lvl w:ilvl="6" w:tplc="0419000F" w:tentative="1">
      <w:start w:val="1"/>
      <w:numFmt w:val="decimal"/>
      <w:lvlText w:val="%7."/>
      <w:lvlJc w:val="left"/>
      <w:pPr>
        <w:ind w:left="9235" w:hanging="360"/>
      </w:pPr>
    </w:lvl>
    <w:lvl w:ilvl="7" w:tplc="04190019" w:tentative="1">
      <w:start w:val="1"/>
      <w:numFmt w:val="lowerLetter"/>
      <w:lvlText w:val="%8."/>
      <w:lvlJc w:val="left"/>
      <w:pPr>
        <w:ind w:left="9955" w:hanging="360"/>
      </w:pPr>
    </w:lvl>
    <w:lvl w:ilvl="8" w:tplc="0419001B" w:tentative="1">
      <w:start w:val="1"/>
      <w:numFmt w:val="lowerRoman"/>
      <w:lvlText w:val="%9."/>
      <w:lvlJc w:val="right"/>
      <w:pPr>
        <w:ind w:left="10675" w:hanging="180"/>
      </w:pPr>
    </w:lvl>
  </w:abstractNum>
  <w:abstractNum w:abstractNumId="6" w15:restartNumberingAfterBreak="0">
    <w:nsid w:val="0922000A"/>
    <w:multiLevelType w:val="multilevel"/>
    <w:tmpl w:val="35CAE5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B0E4D0C"/>
    <w:multiLevelType w:val="hybridMultilevel"/>
    <w:tmpl w:val="E84E91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779FD"/>
    <w:multiLevelType w:val="multilevel"/>
    <w:tmpl w:val="44E44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A42CE8"/>
    <w:multiLevelType w:val="hybridMultilevel"/>
    <w:tmpl w:val="32B4A008"/>
    <w:lvl w:ilvl="0" w:tplc="409046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E33B9"/>
    <w:multiLevelType w:val="hybridMultilevel"/>
    <w:tmpl w:val="57084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76230"/>
    <w:multiLevelType w:val="hybridMultilevel"/>
    <w:tmpl w:val="EEAA8E78"/>
    <w:lvl w:ilvl="0" w:tplc="254880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5F6CDC"/>
    <w:multiLevelType w:val="hybridMultilevel"/>
    <w:tmpl w:val="21646550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E5909"/>
    <w:multiLevelType w:val="hybridMultilevel"/>
    <w:tmpl w:val="D584E37C"/>
    <w:lvl w:ilvl="0" w:tplc="957414F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7D202A"/>
    <w:multiLevelType w:val="hybridMultilevel"/>
    <w:tmpl w:val="FA72A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A1C9F"/>
    <w:multiLevelType w:val="hybridMultilevel"/>
    <w:tmpl w:val="4FA62836"/>
    <w:lvl w:ilvl="0" w:tplc="1070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E774C"/>
    <w:multiLevelType w:val="hybridMultilevel"/>
    <w:tmpl w:val="1C7073F0"/>
    <w:lvl w:ilvl="0" w:tplc="ABC656EC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8EB8BF0E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302" w:hanging="180"/>
      </w:pPr>
    </w:lvl>
    <w:lvl w:ilvl="3" w:tplc="0418000F" w:tentative="1">
      <w:start w:val="1"/>
      <w:numFmt w:val="decimal"/>
      <w:lvlText w:val="%4."/>
      <w:lvlJc w:val="left"/>
      <w:pPr>
        <w:ind w:left="3022" w:hanging="360"/>
      </w:pPr>
    </w:lvl>
    <w:lvl w:ilvl="4" w:tplc="04180019" w:tentative="1">
      <w:start w:val="1"/>
      <w:numFmt w:val="lowerLetter"/>
      <w:lvlText w:val="%5."/>
      <w:lvlJc w:val="left"/>
      <w:pPr>
        <w:ind w:left="3742" w:hanging="360"/>
      </w:pPr>
    </w:lvl>
    <w:lvl w:ilvl="5" w:tplc="0418001B" w:tentative="1">
      <w:start w:val="1"/>
      <w:numFmt w:val="lowerRoman"/>
      <w:lvlText w:val="%6."/>
      <w:lvlJc w:val="right"/>
      <w:pPr>
        <w:ind w:left="4462" w:hanging="180"/>
      </w:pPr>
    </w:lvl>
    <w:lvl w:ilvl="6" w:tplc="0418000F" w:tentative="1">
      <w:start w:val="1"/>
      <w:numFmt w:val="decimal"/>
      <w:lvlText w:val="%7."/>
      <w:lvlJc w:val="left"/>
      <w:pPr>
        <w:ind w:left="5182" w:hanging="360"/>
      </w:pPr>
    </w:lvl>
    <w:lvl w:ilvl="7" w:tplc="04180019" w:tentative="1">
      <w:start w:val="1"/>
      <w:numFmt w:val="lowerLetter"/>
      <w:lvlText w:val="%8."/>
      <w:lvlJc w:val="left"/>
      <w:pPr>
        <w:ind w:left="5902" w:hanging="360"/>
      </w:pPr>
    </w:lvl>
    <w:lvl w:ilvl="8" w:tplc="041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9F65D83"/>
    <w:multiLevelType w:val="multilevel"/>
    <w:tmpl w:val="6316B7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A592E5F"/>
    <w:multiLevelType w:val="hybridMultilevel"/>
    <w:tmpl w:val="74DA533C"/>
    <w:lvl w:ilvl="0" w:tplc="1070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BA1C55"/>
    <w:multiLevelType w:val="hybridMultilevel"/>
    <w:tmpl w:val="402085B8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80707"/>
    <w:multiLevelType w:val="hybridMultilevel"/>
    <w:tmpl w:val="A75013A8"/>
    <w:lvl w:ilvl="0" w:tplc="107004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1800F6A"/>
    <w:multiLevelType w:val="hybridMultilevel"/>
    <w:tmpl w:val="D84A0EC6"/>
    <w:lvl w:ilvl="0" w:tplc="396E9654">
      <w:start w:val="1"/>
      <w:numFmt w:val="decimal"/>
      <w:lvlText w:val="%1."/>
      <w:lvlJc w:val="left"/>
      <w:pPr>
        <w:ind w:left="720" w:hanging="360"/>
      </w:pPr>
      <w:rPr>
        <w:lang w:val="ro-R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906E1"/>
    <w:multiLevelType w:val="hybridMultilevel"/>
    <w:tmpl w:val="40902A3E"/>
    <w:lvl w:ilvl="0" w:tplc="1070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E188B"/>
    <w:multiLevelType w:val="multilevel"/>
    <w:tmpl w:val="75C21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DA7D64"/>
    <w:multiLevelType w:val="hybridMultilevel"/>
    <w:tmpl w:val="8B22394C"/>
    <w:lvl w:ilvl="0" w:tplc="464672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DD7838"/>
    <w:multiLevelType w:val="hybridMultilevel"/>
    <w:tmpl w:val="F65E1966"/>
    <w:lvl w:ilvl="0" w:tplc="37B6C8F4">
      <w:start w:val="2"/>
      <w:numFmt w:val="bullet"/>
      <w:lvlText w:val="-"/>
      <w:lvlJc w:val="left"/>
      <w:pPr>
        <w:ind w:left="95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26" w15:restartNumberingAfterBreak="0">
    <w:nsid w:val="468F1D8A"/>
    <w:multiLevelType w:val="hybridMultilevel"/>
    <w:tmpl w:val="EB06C658"/>
    <w:lvl w:ilvl="0" w:tplc="464672BE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7" w15:restartNumberingAfterBreak="0">
    <w:nsid w:val="4A932378"/>
    <w:multiLevelType w:val="multilevel"/>
    <w:tmpl w:val="DF3C7E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2196236"/>
    <w:multiLevelType w:val="hybridMultilevel"/>
    <w:tmpl w:val="0FF23422"/>
    <w:lvl w:ilvl="0" w:tplc="1070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A6343"/>
    <w:multiLevelType w:val="hybridMultilevel"/>
    <w:tmpl w:val="AB8A7D7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7065A9F"/>
    <w:multiLevelType w:val="hybridMultilevel"/>
    <w:tmpl w:val="823A55E8"/>
    <w:lvl w:ilvl="0" w:tplc="10700454">
      <w:start w:val="1"/>
      <w:numFmt w:val="bullet"/>
      <w:lvlText w:val=""/>
      <w:lvlJc w:val="left"/>
      <w:pPr>
        <w:ind w:left="84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1" w15:restartNumberingAfterBreak="0">
    <w:nsid w:val="57A357B9"/>
    <w:multiLevelType w:val="hybridMultilevel"/>
    <w:tmpl w:val="97F4EF3E"/>
    <w:lvl w:ilvl="0" w:tplc="8B2226AA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ADB3A72"/>
    <w:multiLevelType w:val="hybridMultilevel"/>
    <w:tmpl w:val="973A06D6"/>
    <w:lvl w:ilvl="0" w:tplc="ECDEA1E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B314D"/>
    <w:multiLevelType w:val="hybridMultilevel"/>
    <w:tmpl w:val="2A686006"/>
    <w:lvl w:ilvl="0" w:tplc="464672BE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4" w15:restartNumberingAfterBreak="0">
    <w:nsid w:val="5E0078AE"/>
    <w:multiLevelType w:val="hybridMultilevel"/>
    <w:tmpl w:val="613A4E44"/>
    <w:lvl w:ilvl="0" w:tplc="4B3A4F8E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855D5"/>
    <w:multiLevelType w:val="hybridMultilevel"/>
    <w:tmpl w:val="2E6E99D6"/>
    <w:lvl w:ilvl="0" w:tplc="464672BE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6" w15:restartNumberingAfterBreak="0">
    <w:nsid w:val="66E52ECB"/>
    <w:multiLevelType w:val="hybridMultilevel"/>
    <w:tmpl w:val="B502B7FA"/>
    <w:lvl w:ilvl="0" w:tplc="C916E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A951241"/>
    <w:multiLevelType w:val="hybridMultilevel"/>
    <w:tmpl w:val="D2D49630"/>
    <w:lvl w:ilvl="0" w:tplc="04190011">
      <w:start w:val="1"/>
      <w:numFmt w:val="decimal"/>
      <w:lvlText w:val="%1)"/>
      <w:lvlJc w:val="left"/>
      <w:pPr>
        <w:ind w:left="12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39" w15:restartNumberingAfterBreak="0">
    <w:nsid w:val="6D791515"/>
    <w:multiLevelType w:val="hybridMultilevel"/>
    <w:tmpl w:val="812E5A06"/>
    <w:lvl w:ilvl="0" w:tplc="9D6CBDCA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40" w:hanging="360"/>
      </w:pPr>
    </w:lvl>
    <w:lvl w:ilvl="2" w:tplc="0418001B" w:tentative="1">
      <w:start w:val="1"/>
      <w:numFmt w:val="lowerRoman"/>
      <w:lvlText w:val="%3."/>
      <w:lvlJc w:val="right"/>
      <w:pPr>
        <w:ind w:left="2260" w:hanging="180"/>
      </w:pPr>
    </w:lvl>
    <w:lvl w:ilvl="3" w:tplc="0418000F" w:tentative="1">
      <w:start w:val="1"/>
      <w:numFmt w:val="decimal"/>
      <w:lvlText w:val="%4."/>
      <w:lvlJc w:val="left"/>
      <w:pPr>
        <w:ind w:left="2980" w:hanging="360"/>
      </w:pPr>
    </w:lvl>
    <w:lvl w:ilvl="4" w:tplc="04180019" w:tentative="1">
      <w:start w:val="1"/>
      <w:numFmt w:val="lowerLetter"/>
      <w:lvlText w:val="%5."/>
      <w:lvlJc w:val="left"/>
      <w:pPr>
        <w:ind w:left="3700" w:hanging="360"/>
      </w:pPr>
    </w:lvl>
    <w:lvl w:ilvl="5" w:tplc="0418001B" w:tentative="1">
      <w:start w:val="1"/>
      <w:numFmt w:val="lowerRoman"/>
      <w:lvlText w:val="%6."/>
      <w:lvlJc w:val="right"/>
      <w:pPr>
        <w:ind w:left="4420" w:hanging="180"/>
      </w:pPr>
    </w:lvl>
    <w:lvl w:ilvl="6" w:tplc="0418000F" w:tentative="1">
      <w:start w:val="1"/>
      <w:numFmt w:val="decimal"/>
      <w:lvlText w:val="%7."/>
      <w:lvlJc w:val="left"/>
      <w:pPr>
        <w:ind w:left="5140" w:hanging="360"/>
      </w:pPr>
    </w:lvl>
    <w:lvl w:ilvl="7" w:tplc="04180019" w:tentative="1">
      <w:start w:val="1"/>
      <w:numFmt w:val="lowerLetter"/>
      <w:lvlText w:val="%8."/>
      <w:lvlJc w:val="left"/>
      <w:pPr>
        <w:ind w:left="5860" w:hanging="360"/>
      </w:pPr>
    </w:lvl>
    <w:lvl w:ilvl="8" w:tplc="041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0" w15:restartNumberingAfterBreak="0">
    <w:nsid w:val="6EB609FD"/>
    <w:multiLevelType w:val="hybridMultilevel"/>
    <w:tmpl w:val="D4DCA1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F927495"/>
    <w:multiLevelType w:val="hybridMultilevel"/>
    <w:tmpl w:val="9A0AF6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5505335"/>
    <w:multiLevelType w:val="hybridMultilevel"/>
    <w:tmpl w:val="B0A07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6B5CEC"/>
    <w:multiLevelType w:val="hybridMultilevel"/>
    <w:tmpl w:val="776C04D4"/>
    <w:lvl w:ilvl="0" w:tplc="E19CCA82">
      <w:start w:val="1"/>
      <w:numFmt w:val="decimal"/>
      <w:lvlText w:val="%1)"/>
      <w:lvlJc w:val="left"/>
      <w:pPr>
        <w:ind w:left="1305" w:hanging="94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3237B"/>
    <w:multiLevelType w:val="hybridMultilevel"/>
    <w:tmpl w:val="CD886F48"/>
    <w:lvl w:ilvl="0" w:tplc="827E8CC4">
      <w:start w:val="1"/>
      <w:numFmt w:val="decimal"/>
      <w:lvlText w:val="(%1)"/>
      <w:lvlJc w:val="left"/>
      <w:pPr>
        <w:ind w:left="1527" w:hanging="9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D950C6A"/>
    <w:multiLevelType w:val="hybridMultilevel"/>
    <w:tmpl w:val="AAD08560"/>
    <w:lvl w:ilvl="0" w:tplc="4CF849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D2A55"/>
    <w:multiLevelType w:val="hybridMultilevel"/>
    <w:tmpl w:val="619286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4"/>
  </w:num>
  <w:num w:numId="2">
    <w:abstractNumId w:val="18"/>
  </w:num>
  <w:num w:numId="3">
    <w:abstractNumId w:val="21"/>
  </w:num>
  <w:num w:numId="4">
    <w:abstractNumId w:val="40"/>
  </w:num>
  <w:num w:numId="5">
    <w:abstractNumId w:val="30"/>
  </w:num>
  <w:num w:numId="6">
    <w:abstractNumId w:val="0"/>
  </w:num>
  <w:num w:numId="7">
    <w:abstractNumId w:val="3"/>
  </w:num>
  <w:num w:numId="8">
    <w:abstractNumId w:val="15"/>
  </w:num>
  <w:num w:numId="9">
    <w:abstractNumId w:val="41"/>
  </w:num>
  <w:num w:numId="10">
    <w:abstractNumId w:val="11"/>
  </w:num>
  <w:num w:numId="11">
    <w:abstractNumId w:val="28"/>
  </w:num>
  <w:num w:numId="12">
    <w:abstractNumId w:val="2"/>
  </w:num>
  <w:num w:numId="13">
    <w:abstractNumId w:val="13"/>
  </w:num>
  <w:num w:numId="14">
    <w:abstractNumId w:val="1"/>
  </w:num>
  <w:num w:numId="15">
    <w:abstractNumId w:val="31"/>
  </w:num>
  <w:num w:numId="16">
    <w:abstractNumId w:val="37"/>
  </w:num>
  <w:num w:numId="17">
    <w:abstractNumId w:val="36"/>
  </w:num>
  <w:num w:numId="18">
    <w:abstractNumId w:val="7"/>
  </w:num>
  <w:num w:numId="19">
    <w:abstractNumId w:val="43"/>
  </w:num>
  <w:num w:numId="20">
    <w:abstractNumId w:val="32"/>
  </w:num>
  <w:num w:numId="21">
    <w:abstractNumId w:val="16"/>
  </w:num>
  <w:num w:numId="22">
    <w:abstractNumId w:val="29"/>
  </w:num>
  <w:num w:numId="23">
    <w:abstractNumId w:val="27"/>
  </w:num>
  <w:num w:numId="24">
    <w:abstractNumId w:val="46"/>
  </w:num>
  <w:num w:numId="25">
    <w:abstractNumId w:val="6"/>
  </w:num>
  <w:num w:numId="26">
    <w:abstractNumId w:val="20"/>
  </w:num>
  <w:num w:numId="27">
    <w:abstractNumId w:val="22"/>
  </w:num>
  <w:num w:numId="28">
    <w:abstractNumId w:val="42"/>
  </w:num>
  <w:num w:numId="29">
    <w:abstractNumId w:val="17"/>
  </w:num>
  <w:num w:numId="30">
    <w:abstractNumId w:val="24"/>
  </w:num>
  <w:num w:numId="31">
    <w:abstractNumId w:val="14"/>
  </w:num>
  <w:num w:numId="32">
    <w:abstractNumId w:val="19"/>
  </w:num>
  <w:num w:numId="33">
    <w:abstractNumId w:val="34"/>
  </w:num>
  <w:num w:numId="34">
    <w:abstractNumId w:val="10"/>
  </w:num>
  <w:num w:numId="35">
    <w:abstractNumId w:val="45"/>
  </w:num>
  <w:num w:numId="36">
    <w:abstractNumId w:val="5"/>
  </w:num>
  <w:num w:numId="37">
    <w:abstractNumId w:val="4"/>
  </w:num>
  <w:num w:numId="38">
    <w:abstractNumId w:val="38"/>
  </w:num>
  <w:num w:numId="39">
    <w:abstractNumId w:val="39"/>
  </w:num>
  <w:num w:numId="40">
    <w:abstractNumId w:val="12"/>
  </w:num>
  <w:num w:numId="41">
    <w:abstractNumId w:val="25"/>
  </w:num>
  <w:num w:numId="42">
    <w:abstractNumId w:val="8"/>
  </w:num>
  <w:num w:numId="43">
    <w:abstractNumId w:val="23"/>
  </w:num>
  <w:num w:numId="44">
    <w:abstractNumId w:val="35"/>
  </w:num>
  <w:num w:numId="45">
    <w:abstractNumId w:val="26"/>
  </w:num>
  <w:num w:numId="46">
    <w:abstractNumId w:val="33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84"/>
    <w:rsid w:val="000113FF"/>
    <w:rsid w:val="0002190C"/>
    <w:rsid w:val="00025288"/>
    <w:rsid w:val="000323E2"/>
    <w:rsid w:val="0003362B"/>
    <w:rsid w:val="00034C40"/>
    <w:rsid w:val="00037162"/>
    <w:rsid w:val="00037F87"/>
    <w:rsid w:val="00040805"/>
    <w:rsid w:val="00051F54"/>
    <w:rsid w:val="00053AD0"/>
    <w:rsid w:val="00055EC0"/>
    <w:rsid w:val="0006672C"/>
    <w:rsid w:val="00073E82"/>
    <w:rsid w:val="000932AE"/>
    <w:rsid w:val="00095E92"/>
    <w:rsid w:val="0009662A"/>
    <w:rsid w:val="000A1455"/>
    <w:rsid w:val="000A22F1"/>
    <w:rsid w:val="000A656E"/>
    <w:rsid w:val="000B7B96"/>
    <w:rsid w:val="000C1945"/>
    <w:rsid w:val="000C71CA"/>
    <w:rsid w:val="000C7250"/>
    <w:rsid w:val="000D1D16"/>
    <w:rsid w:val="000D2505"/>
    <w:rsid w:val="000D39F4"/>
    <w:rsid w:val="000E369C"/>
    <w:rsid w:val="000F44EC"/>
    <w:rsid w:val="0010145C"/>
    <w:rsid w:val="001031C1"/>
    <w:rsid w:val="001128E1"/>
    <w:rsid w:val="00115AB0"/>
    <w:rsid w:val="00122AA7"/>
    <w:rsid w:val="00126EFD"/>
    <w:rsid w:val="001318AE"/>
    <w:rsid w:val="00132D16"/>
    <w:rsid w:val="0013724A"/>
    <w:rsid w:val="00137BAC"/>
    <w:rsid w:val="00152D07"/>
    <w:rsid w:val="001618EC"/>
    <w:rsid w:val="001646B3"/>
    <w:rsid w:val="00165A07"/>
    <w:rsid w:val="00171B75"/>
    <w:rsid w:val="00173A2C"/>
    <w:rsid w:val="001865A4"/>
    <w:rsid w:val="001937E1"/>
    <w:rsid w:val="00194203"/>
    <w:rsid w:val="001A110C"/>
    <w:rsid w:val="001A15C8"/>
    <w:rsid w:val="001A6F9D"/>
    <w:rsid w:val="001B2780"/>
    <w:rsid w:val="001C2367"/>
    <w:rsid w:val="001C6C94"/>
    <w:rsid w:val="001D0685"/>
    <w:rsid w:val="001D2F0C"/>
    <w:rsid w:val="001D7AA6"/>
    <w:rsid w:val="00200B94"/>
    <w:rsid w:val="0020113C"/>
    <w:rsid w:val="00206FB7"/>
    <w:rsid w:val="0021006D"/>
    <w:rsid w:val="00212A28"/>
    <w:rsid w:val="00223F95"/>
    <w:rsid w:val="00224236"/>
    <w:rsid w:val="0024313F"/>
    <w:rsid w:val="00245413"/>
    <w:rsid w:val="00247B51"/>
    <w:rsid w:val="002534F0"/>
    <w:rsid w:val="0025690E"/>
    <w:rsid w:val="00257E5E"/>
    <w:rsid w:val="00263DD4"/>
    <w:rsid w:val="00266278"/>
    <w:rsid w:val="00275D3C"/>
    <w:rsid w:val="0028244A"/>
    <w:rsid w:val="002829EC"/>
    <w:rsid w:val="00283921"/>
    <w:rsid w:val="00283F8A"/>
    <w:rsid w:val="002A341E"/>
    <w:rsid w:val="002B1E76"/>
    <w:rsid w:val="002B404A"/>
    <w:rsid w:val="002C1F79"/>
    <w:rsid w:val="002C3264"/>
    <w:rsid w:val="002C569A"/>
    <w:rsid w:val="002D23AF"/>
    <w:rsid w:val="002E1AEF"/>
    <w:rsid w:val="002E4E4B"/>
    <w:rsid w:val="0030078A"/>
    <w:rsid w:val="00306E1B"/>
    <w:rsid w:val="00316E29"/>
    <w:rsid w:val="0031750F"/>
    <w:rsid w:val="00317D0A"/>
    <w:rsid w:val="00322F67"/>
    <w:rsid w:val="00323DF6"/>
    <w:rsid w:val="003316F9"/>
    <w:rsid w:val="00346163"/>
    <w:rsid w:val="003461C9"/>
    <w:rsid w:val="0034733A"/>
    <w:rsid w:val="00353109"/>
    <w:rsid w:val="00355A88"/>
    <w:rsid w:val="00363CD9"/>
    <w:rsid w:val="00375407"/>
    <w:rsid w:val="0038757F"/>
    <w:rsid w:val="00396B8D"/>
    <w:rsid w:val="003A3E20"/>
    <w:rsid w:val="003A50DC"/>
    <w:rsid w:val="003A65D5"/>
    <w:rsid w:val="003A743F"/>
    <w:rsid w:val="003C5B5D"/>
    <w:rsid w:val="003D4193"/>
    <w:rsid w:val="003D7192"/>
    <w:rsid w:val="003E03A9"/>
    <w:rsid w:val="003E1CA1"/>
    <w:rsid w:val="003E5D13"/>
    <w:rsid w:val="003F23EB"/>
    <w:rsid w:val="003F41D5"/>
    <w:rsid w:val="003F78A7"/>
    <w:rsid w:val="004307C3"/>
    <w:rsid w:val="00431AE3"/>
    <w:rsid w:val="004324C0"/>
    <w:rsid w:val="00436879"/>
    <w:rsid w:val="00445EE3"/>
    <w:rsid w:val="004552F6"/>
    <w:rsid w:val="00462B9D"/>
    <w:rsid w:val="00482462"/>
    <w:rsid w:val="004840DC"/>
    <w:rsid w:val="00484476"/>
    <w:rsid w:val="00494EB6"/>
    <w:rsid w:val="0049618A"/>
    <w:rsid w:val="004979EF"/>
    <w:rsid w:val="004A2D20"/>
    <w:rsid w:val="004B2834"/>
    <w:rsid w:val="004C0B1E"/>
    <w:rsid w:val="004C3E9A"/>
    <w:rsid w:val="004D11F8"/>
    <w:rsid w:val="004E1B70"/>
    <w:rsid w:val="004E3F11"/>
    <w:rsid w:val="004E710E"/>
    <w:rsid w:val="004F463D"/>
    <w:rsid w:val="00523305"/>
    <w:rsid w:val="00535824"/>
    <w:rsid w:val="00535DEE"/>
    <w:rsid w:val="00537511"/>
    <w:rsid w:val="00541802"/>
    <w:rsid w:val="00560A2F"/>
    <w:rsid w:val="00567294"/>
    <w:rsid w:val="00570794"/>
    <w:rsid w:val="00573176"/>
    <w:rsid w:val="00576033"/>
    <w:rsid w:val="005821BE"/>
    <w:rsid w:val="005A02A2"/>
    <w:rsid w:val="005A1260"/>
    <w:rsid w:val="005A335A"/>
    <w:rsid w:val="005A378C"/>
    <w:rsid w:val="005A4DAB"/>
    <w:rsid w:val="005B1FBC"/>
    <w:rsid w:val="005B2E1F"/>
    <w:rsid w:val="005B41DB"/>
    <w:rsid w:val="005B508B"/>
    <w:rsid w:val="005B5369"/>
    <w:rsid w:val="005D0B92"/>
    <w:rsid w:val="005E118A"/>
    <w:rsid w:val="005E6F1C"/>
    <w:rsid w:val="005E78A7"/>
    <w:rsid w:val="005F5CA0"/>
    <w:rsid w:val="00610AE0"/>
    <w:rsid w:val="00617584"/>
    <w:rsid w:val="006213DF"/>
    <w:rsid w:val="00621B8B"/>
    <w:rsid w:val="0062362C"/>
    <w:rsid w:val="00626B7E"/>
    <w:rsid w:val="006400EA"/>
    <w:rsid w:val="00642ADE"/>
    <w:rsid w:val="006436CA"/>
    <w:rsid w:val="00643D7B"/>
    <w:rsid w:val="00654F32"/>
    <w:rsid w:val="0066678F"/>
    <w:rsid w:val="006717CE"/>
    <w:rsid w:val="00673461"/>
    <w:rsid w:val="00683CF5"/>
    <w:rsid w:val="006864A8"/>
    <w:rsid w:val="00690763"/>
    <w:rsid w:val="00690C2E"/>
    <w:rsid w:val="0069154B"/>
    <w:rsid w:val="006932A7"/>
    <w:rsid w:val="006A00CA"/>
    <w:rsid w:val="006B0C37"/>
    <w:rsid w:val="006B1E38"/>
    <w:rsid w:val="006B474D"/>
    <w:rsid w:val="006B47BC"/>
    <w:rsid w:val="006C69AD"/>
    <w:rsid w:val="006D08C2"/>
    <w:rsid w:val="006E0C41"/>
    <w:rsid w:val="006E26DF"/>
    <w:rsid w:val="006E2FC1"/>
    <w:rsid w:val="006E5947"/>
    <w:rsid w:val="006E768B"/>
    <w:rsid w:val="006F3DF6"/>
    <w:rsid w:val="00701B61"/>
    <w:rsid w:val="007021AD"/>
    <w:rsid w:val="00703532"/>
    <w:rsid w:val="00703CF5"/>
    <w:rsid w:val="007068DD"/>
    <w:rsid w:val="00707FE7"/>
    <w:rsid w:val="00710E4A"/>
    <w:rsid w:val="00711D8E"/>
    <w:rsid w:val="00740FAD"/>
    <w:rsid w:val="00751DA5"/>
    <w:rsid w:val="00753DCB"/>
    <w:rsid w:val="0076285C"/>
    <w:rsid w:val="00767F1D"/>
    <w:rsid w:val="007745B7"/>
    <w:rsid w:val="00776F62"/>
    <w:rsid w:val="0078797F"/>
    <w:rsid w:val="0079022D"/>
    <w:rsid w:val="00793E18"/>
    <w:rsid w:val="007A114E"/>
    <w:rsid w:val="007A39B0"/>
    <w:rsid w:val="007A3FCD"/>
    <w:rsid w:val="007A5843"/>
    <w:rsid w:val="007B0D7D"/>
    <w:rsid w:val="007B43EA"/>
    <w:rsid w:val="007B6A36"/>
    <w:rsid w:val="007B6D52"/>
    <w:rsid w:val="007C434B"/>
    <w:rsid w:val="007C5D23"/>
    <w:rsid w:val="007D14E8"/>
    <w:rsid w:val="007F328E"/>
    <w:rsid w:val="007F5C99"/>
    <w:rsid w:val="0080007E"/>
    <w:rsid w:val="00800419"/>
    <w:rsid w:val="008066BF"/>
    <w:rsid w:val="00815FC8"/>
    <w:rsid w:val="008179F7"/>
    <w:rsid w:val="00823B96"/>
    <w:rsid w:val="00832717"/>
    <w:rsid w:val="00847332"/>
    <w:rsid w:val="008564AF"/>
    <w:rsid w:val="00867158"/>
    <w:rsid w:val="008840D1"/>
    <w:rsid w:val="0089360B"/>
    <w:rsid w:val="008A0280"/>
    <w:rsid w:val="008A2A25"/>
    <w:rsid w:val="008A6ABA"/>
    <w:rsid w:val="008B7619"/>
    <w:rsid w:val="008C26B6"/>
    <w:rsid w:val="008C2CC8"/>
    <w:rsid w:val="008C32A3"/>
    <w:rsid w:val="008E2AE4"/>
    <w:rsid w:val="008E43D6"/>
    <w:rsid w:val="008E5257"/>
    <w:rsid w:val="008E6BBA"/>
    <w:rsid w:val="008F2A66"/>
    <w:rsid w:val="008F7E48"/>
    <w:rsid w:val="009022F2"/>
    <w:rsid w:val="00913FC1"/>
    <w:rsid w:val="00916950"/>
    <w:rsid w:val="00920CC2"/>
    <w:rsid w:val="00927642"/>
    <w:rsid w:val="00947A3A"/>
    <w:rsid w:val="00957380"/>
    <w:rsid w:val="00962EB1"/>
    <w:rsid w:val="009656A1"/>
    <w:rsid w:val="009675A9"/>
    <w:rsid w:val="00970E5D"/>
    <w:rsid w:val="00973F65"/>
    <w:rsid w:val="009779FC"/>
    <w:rsid w:val="00982222"/>
    <w:rsid w:val="00992589"/>
    <w:rsid w:val="009937BC"/>
    <w:rsid w:val="0099474F"/>
    <w:rsid w:val="009A221F"/>
    <w:rsid w:val="009A341C"/>
    <w:rsid w:val="009B55F6"/>
    <w:rsid w:val="009D0293"/>
    <w:rsid w:val="009D11AA"/>
    <w:rsid w:val="009E10D3"/>
    <w:rsid w:val="009F18A2"/>
    <w:rsid w:val="009F255F"/>
    <w:rsid w:val="009F3875"/>
    <w:rsid w:val="009F592D"/>
    <w:rsid w:val="009F7508"/>
    <w:rsid w:val="00A01B81"/>
    <w:rsid w:val="00A054DF"/>
    <w:rsid w:val="00A0745B"/>
    <w:rsid w:val="00A1011A"/>
    <w:rsid w:val="00A1038E"/>
    <w:rsid w:val="00A2664A"/>
    <w:rsid w:val="00A26ABB"/>
    <w:rsid w:val="00A341AD"/>
    <w:rsid w:val="00A40F34"/>
    <w:rsid w:val="00A563CA"/>
    <w:rsid w:val="00A57233"/>
    <w:rsid w:val="00A7419B"/>
    <w:rsid w:val="00A745A9"/>
    <w:rsid w:val="00A91ACB"/>
    <w:rsid w:val="00A9721E"/>
    <w:rsid w:val="00A9749B"/>
    <w:rsid w:val="00A97708"/>
    <w:rsid w:val="00AA0216"/>
    <w:rsid w:val="00AA2A7F"/>
    <w:rsid w:val="00AB23B3"/>
    <w:rsid w:val="00AC0940"/>
    <w:rsid w:val="00AC1105"/>
    <w:rsid w:val="00AC1141"/>
    <w:rsid w:val="00AD174E"/>
    <w:rsid w:val="00AD4407"/>
    <w:rsid w:val="00AD4B76"/>
    <w:rsid w:val="00AD4F63"/>
    <w:rsid w:val="00AD6682"/>
    <w:rsid w:val="00AD709E"/>
    <w:rsid w:val="00AE112C"/>
    <w:rsid w:val="00AE38C4"/>
    <w:rsid w:val="00AE4B0C"/>
    <w:rsid w:val="00AE5356"/>
    <w:rsid w:val="00AE6001"/>
    <w:rsid w:val="00AE7312"/>
    <w:rsid w:val="00B074E1"/>
    <w:rsid w:val="00B303B3"/>
    <w:rsid w:val="00B33439"/>
    <w:rsid w:val="00B340BB"/>
    <w:rsid w:val="00B400AC"/>
    <w:rsid w:val="00B4682D"/>
    <w:rsid w:val="00B63965"/>
    <w:rsid w:val="00B7576D"/>
    <w:rsid w:val="00B763B4"/>
    <w:rsid w:val="00B91939"/>
    <w:rsid w:val="00B961EF"/>
    <w:rsid w:val="00BA5109"/>
    <w:rsid w:val="00BB2C5F"/>
    <w:rsid w:val="00BB33BF"/>
    <w:rsid w:val="00BB3948"/>
    <w:rsid w:val="00BB6AC7"/>
    <w:rsid w:val="00BC0DF3"/>
    <w:rsid w:val="00BC2266"/>
    <w:rsid w:val="00BC778B"/>
    <w:rsid w:val="00BD57C5"/>
    <w:rsid w:val="00BE37CC"/>
    <w:rsid w:val="00BF3C88"/>
    <w:rsid w:val="00C02428"/>
    <w:rsid w:val="00C13DE9"/>
    <w:rsid w:val="00C150C8"/>
    <w:rsid w:val="00C16645"/>
    <w:rsid w:val="00C172EF"/>
    <w:rsid w:val="00C2109E"/>
    <w:rsid w:val="00C21FF4"/>
    <w:rsid w:val="00C34DAC"/>
    <w:rsid w:val="00C44BA6"/>
    <w:rsid w:val="00C45078"/>
    <w:rsid w:val="00C478FE"/>
    <w:rsid w:val="00C47A4A"/>
    <w:rsid w:val="00C50F2E"/>
    <w:rsid w:val="00C550D2"/>
    <w:rsid w:val="00C61D70"/>
    <w:rsid w:val="00C66349"/>
    <w:rsid w:val="00C70816"/>
    <w:rsid w:val="00C774C9"/>
    <w:rsid w:val="00C838E8"/>
    <w:rsid w:val="00C8721E"/>
    <w:rsid w:val="00C9282F"/>
    <w:rsid w:val="00C93AE4"/>
    <w:rsid w:val="00CA004C"/>
    <w:rsid w:val="00CA343A"/>
    <w:rsid w:val="00CA3BEF"/>
    <w:rsid w:val="00CA4750"/>
    <w:rsid w:val="00CA4772"/>
    <w:rsid w:val="00CB1517"/>
    <w:rsid w:val="00CB430E"/>
    <w:rsid w:val="00CB75A2"/>
    <w:rsid w:val="00CC0B83"/>
    <w:rsid w:val="00CC1393"/>
    <w:rsid w:val="00CC384A"/>
    <w:rsid w:val="00CD4F6E"/>
    <w:rsid w:val="00CE4F8A"/>
    <w:rsid w:val="00CE6127"/>
    <w:rsid w:val="00CF6196"/>
    <w:rsid w:val="00D14736"/>
    <w:rsid w:val="00D15846"/>
    <w:rsid w:val="00D16D06"/>
    <w:rsid w:val="00D27C31"/>
    <w:rsid w:val="00D33F7C"/>
    <w:rsid w:val="00D465AE"/>
    <w:rsid w:val="00D47219"/>
    <w:rsid w:val="00D551F3"/>
    <w:rsid w:val="00D60BC1"/>
    <w:rsid w:val="00D63156"/>
    <w:rsid w:val="00D656D9"/>
    <w:rsid w:val="00D67599"/>
    <w:rsid w:val="00D6769E"/>
    <w:rsid w:val="00D71188"/>
    <w:rsid w:val="00D77CAE"/>
    <w:rsid w:val="00D81C0B"/>
    <w:rsid w:val="00D8496F"/>
    <w:rsid w:val="00D91B25"/>
    <w:rsid w:val="00DA29F6"/>
    <w:rsid w:val="00DA4625"/>
    <w:rsid w:val="00DA5540"/>
    <w:rsid w:val="00DC0992"/>
    <w:rsid w:val="00DD3E4F"/>
    <w:rsid w:val="00DE5D59"/>
    <w:rsid w:val="00DE7DD6"/>
    <w:rsid w:val="00DF2FFB"/>
    <w:rsid w:val="00E01A7D"/>
    <w:rsid w:val="00E02427"/>
    <w:rsid w:val="00E05A25"/>
    <w:rsid w:val="00E13C01"/>
    <w:rsid w:val="00E16114"/>
    <w:rsid w:val="00E178DB"/>
    <w:rsid w:val="00E22D05"/>
    <w:rsid w:val="00E24326"/>
    <w:rsid w:val="00E27D83"/>
    <w:rsid w:val="00E418FE"/>
    <w:rsid w:val="00E43AB6"/>
    <w:rsid w:val="00E4465C"/>
    <w:rsid w:val="00E52A5D"/>
    <w:rsid w:val="00E53805"/>
    <w:rsid w:val="00E8353B"/>
    <w:rsid w:val="00E84044"/>
    <w:rsid w:val="00E85AF0"/>
    <w:rsid w:val="00E93558"/>
    <w:rsid w:val="00EB49BD"/>
    <w:rsid w:val="00EB5EFA"/>
    <w:rsid w:val="00EC2042"/>
    <w:rsid w:val="00EC30E2"/>
    <w:rsid w:val="00EC795C"/>
    <w:rsid w:val="00ED11B5"/>
    <w:rsid w:val="00ED5512"/>
    <w:rsid w:val="00ED792A"/>
    <w:rsid w:val="00EE4CD2"/>
    <w:rsid w:val="00EF4C7E"/>
    <w:rsid w:val="00EF6857"/>
    <w:rsid w:val="00F12A49"/>
    <w:rsid w:val="00F15514"/>
    <w:rsid w:val="00F25D7E"/>
    <w:rsid w:val="00F3262A"/>
    <w:rsid w:val="00F449A6"/>
    <w:rsid w:val="00F44EAB"/>
    <w:rsid w:val="00F56BE2"/>
    <w:rsid w:val="00F570DA"/>
    <w:rsid w:val="00F622B2"/>
    <w:rsid w:val="00F627CD"/>
    <w:rsid w:val="00F73A4A"/>
    <w:rsid w:val="00F77353"/>
    <w:rsid w:val="00F80B0D"/>
    <w:rsid w:val="00F90516"/>
    <w:rsid w:val="00F916D0"/>
    <w:rsid w:val="00F97587"/>
    <w:rsid w:val="00FA12B2"/>
    <w:rsid w:val="00FA66B1"/>
    <w:rsid w:val="00FB2E1F"/>
    <w:rsid w:val="00FB3A4E"/>
    <w:rsid w:val="00FB5DA8"/>
    <w:rsid w:val="00FC1B4D"/>
    <w:rsid w:val="00FC57C0"/>
    <w:rsid w:val="00FD20F8"/>
    <w:rsid w:val="00FD2BF0"/>
    <w:rsid w:val="00FD6188"/>
    <w:rsid w:val="00FD64CC"/>
    <w:rsid w:val="00FE0346"/>
    <w:rsid w:val="00FE4828"/>
    <w:rsid w:val="00FE7F0E"/>
    <w:rsid w:val="00FF0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9928"/>
  <w15:docId w15:val="{E3750235-A157-4F19-A027-DF2C7CB5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73F65"/>
    <w:pPr>
      <w:ind w:left="720"/>
      <w:contextualSpacing/>
    </w:pPr>
  </w:style>
  <w:style w:type="paragraph" w:customStyle="1" w:styleId="def">
    <w:name w:val="def"/>
    <w:basedOn w:val="Normal"/>
    <w:rsid w:val="006E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6E2F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Normal"/>
    <w:uiPriority w:val="99"/>
    <w:rsid w:val="00FB3A4E"/>
    <w:pPr>
      <w:widowControl w:val="0"/>
      <w:autoSpaceDE w:val="0"/>
      <w:autoSpaceDN w:val="0"/>
      <w:adjustRightInd w:val="0"/>
      <w:spacing w:after="0" w:line="41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2">
    <w:name w:val="Font Style12"/>
    <w:uiPriority w:val="99"/>
    <w:rsid w:val="00FB3A4E"/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BodyText"/>
    <w:rsid w:val="00FB3A4E"/>
    <w:pPr>
      <w:tabs>
        <w:tab w:val="right" w:pos="-2127"/>
      </w:tabs>
      <w:suppressAutoHyphens/>
      <w:autoSpaceDE w:val="0"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B3A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3A4E"/>
  </w:style>
  <w:style w:type="character" w:customStyle="1" w:styleId="ListParagraphChar">
    <w:name w:val="List Paragraph Char"/>
    <w:link w:val="ListParagraph"/>
    <w:uiPriority w:val="34"/>
    <w:locked/>
    <w:rsid w:val="003E5D13"/>
  </w:style>
  <w:style w:type="paragraph" w:styleId="NormalWeb">
    <w:name w:val="Normal (Web)"/>
    <w:aliases w:val="Знак,webb, Знак"/>
    <w:basedOn w:val="Normal"/>
    <w:next w:val="Normal"/>
    <w:link w:val="NormalWebChar"/>
    <w:uiPriority w:val="99"/>
    <w:qFormat/>
    <w:rsid w:val="00263D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WebChar">
    <w:name w:val="Normal (Web) Char"/>
    <w:aliases w:val="Знак Char,webb Char, Знак Char"/>
    <w:link w:val="NormalWeb"/>
    <w:uiPriority w:val="99"/>
    <w:rsid w:val="00053A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lorfulList-Accent11">
    <w:name w:val="Colorful List - Accent 11"/>
    <w:basedOn w:val="Normal"/>
    <w:link w:val="ColorfulList-Accent1Char"/>
    <w:qFormat/>
    <w:rsid w:val="00E16114"/>
    <w:pPr>
      <w:ind w:left="720" w:firstLine="547"/>
      <w:contextualSpacing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ColorfulList-Accent1Char">
    <w:name w:val="Colorful List - Accent 1 Char"/>
    <w:link w:val="ColorfulList-Accent11"/>
    <w:locked/>
    <w:rsid w:val="00E16114"/>
    <w:rPr>
      <w:rFonts w:ascii="Calibri" w:eastAsia="Calibri" w:hAnsi="Calibri" w:cs="Times New Roman"/>
      <w:sz w:val="20"/>
      <w:szCs w:val="20"/>
      <w:lang w:eastAsia="x-none"/>
    </w:rPr>
  </w:style>
  <w:style w:type="paragraph" w:customStyle="1" w:styleId="MediumGrid21">
    <w:name w:val="Medium Grid 21"/>
    <w:uiPriority w:val="1"/>
    <w:qFormat/>
    <w:rsid w:val="00E1611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8BC06-5A64-459E-AB39-043DB755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Stratulat</dc:creator>
  <cp:lastModifiedBy>Elena Stratulat</cp:lastModifiedBy>
  <cp:revision>14</cp:revision>
  <cp:lastPrinted>2020-11-13T11:20:00Z</cp:lastPrinted>
  <dcterms:created xsi:type="dcterms:W3CDTF">2020-07-01T06:26:00Z</dcterms:created>
  <dcterms:modified xsi:type="dcterms:W3CDTF">2020-11-16T07:58:00Z</dcterms:modified>
</cp:coreProperties>
</file>